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0589" w:rsidTr="00880589"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880589" w:rsidRDefault="00880589" w:rsidP="0088058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80589">
              <w:rPr>
                <w:b/>
                <w:sz w:val="28"/>
                <w:szCs w:val="28"/>
              </w:rPr>
              <w:t xml:space="preserve">Vergelijking van </w:t>
            </w:r>
            <w:r w:rsidR="0000164A">
              <w:rPr>
                <w:b/>
                <w:sz w:val="28"/>
                <w:szCs w:val="28"/>
              </w:rPr>
              <w:t>het</w:t>
            </w:r>
            <w:r w:rsidRPr="00880589">
              <w:rPr>
                <w:b/>
                <w:sz w:val="28"/>
                <w:szCs w:val="28"/>
              </w:rPr>
              <w:t xml:space="preserve"> reguliere en </w:t>
            </w:r>
            <w:proofErr w:type="spellStart"/>
            <w:r w:rsidRPr="00880589">
              <w:rPr>
                <w:b/>
                <w:sz w:val="28"/>
                <w:szCs w:val="28"/>
              </w:rPr>
              <w:t>OidS</w:t>
            </w:r>
            <w:proofErr w:type="spellEnd"/>
            <w:r w:rsidR="0000164A">
              <w:rPr>
                <w:b/>
                <w:sz w:val="28"/>
                <w:szCs w:val="28"/>
              </w:rPr>
              <w:t xml:space="preserve"> –traject </w:t>
            </w:r>
            <w:r w:rsidRPr="00880589">
              <w:rPr>
                <w:b/>
                <w:sz w:val="28"/>
                <w:szCs w:val="28"/>
              </w:rPr>
              <w:t xml:space="preserve">vanuit AOS </w:t>
            </w:r>
            <w:r>
              <w:rPr>
                <w:b/>
                <w:sz w:val="28"/>
                <w:szCs w:val="28"/>
              </w:rPr>
              <w:t>–</w:t>
            </w:r>
            <w:r w:rsidRPr="00880589">
              <w:rPr>
                <w:b/>
                <w:sz w:val="28"/>
                <w:szCs w:val="28"/>
              </w:rPr>
              <w:t xml:space="preserve"> perspectief</w:t>
            </w:r>
          </w:p>
          <w:p w:rsidR="00880589" w:rsidRDefault="00880589" w:rsidP="007E516D">
            <w:pPr>
              <w:jc w:val="center"/>
              <w:rPr>
                <w:b/>
              </w:rPr>
            </w:pPr>
          </w:p>
        </w:tc>
      </w:tr>
      <w:tr w:rsidR="00647196" w:rsidTr="00D54317">
        <w:tc>
          <w:tcPr>
            <w:tcW w:w="4606" w:type="dxa"/>
            <w:shd w:val="clear" w:color="auto" w:fill="EEECE1" w:themeFill="background2"/>
          </w:tcPr>
          <w:p w:rsidR="00647196" w:rsidRPr="00A0277B" w:rsidRDefault="009469F2" w:rsidP="00143096">
            <w:pPr>
              <w:jc w:val="center"/>
              <w:rPr>
                <w:b/>
              </w:rPr>
            </w:pPr>
            <w:r w:rsidRPr="00A0277B">
              <w:rPr>
                <w:b/>
              </w:rPr>
              <w:t xml:space="preserve">Reguliere </w:t>
            </w:r>
            <w:r w:rsidR="0000164A">
              <w:rPr>
                <w:b/>
              </w:rPr>
              <w:t>traject</w:t>
            </w:r>
          </w:p>
        </w:tc>
        <w:tc>
          <w:tcPr>
            <w:tcW w:w="4606" w:type="dxa"/>
            <w:shd w:val="clear" w:color="auto" w:fill="EEECE1" w:themeFill="background2"/>
          </w:tcPr>
          <w:p w:rsidR="007E63C9" w:rsidRDefault="007E63C9" w:rsidP="007E63C9">
            <w:pPr>
              <w:jc w:val="center"/>
              <w:rPr>
                <w:b/>
              </w:rPr>
            </w:pPr>
            <w:r>
              <w:rPr>
                <w:b/>
              </w:rPr>
              <w:t>Samen opleiden</w:t>
            </w:r>
          </w:p>
          <w:p w:rsidR="007E63C9" w:rsidRPr="00D54317" w:rsidRDefault="007E63C9" w:rsidP="007E63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OidS</w:t>
            </w:r>
            <w:proofErr w:type="spellEnd"/>
            <w:r>
              <w:rPr>
                <w:b/>
              </w:rPr>
              <w:t>-traject</w:t>
            </w:r>
          </w:p>
          <w:p w:rsidR="00D54317" w:rsidRPr="00D54317" w:rsidRDefault="00D54317" w:rsidP="00143096">
            <w:pPr>
              <w:jc w:val="center"/>
              <w:rPr>
                <w:b/>
              </w:rPr>
            </w:pPr>
          </w:p>
        </w:tc>
      </w:tr>
      <w:tr w:rsidR="00DA2F88" w:rsidTr="00647196">
        <w:tc>
          <w:tcPr>
            <w:tcW w:w="4606" w:type="dxa"/>
          </w:tcPr>
          <w:p w:rsidR="00DA2F88" w:rsidRDefault="00A0277B" w:rsidP="00DA2F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405D44">
              <w:rPr>
                <w:b/>
                <w:i/>
              </w:rPr>
              <w:t>enmerken</w:t>
            </w:r>
          </w:p>
          <w:p w:rsidR="00A0277B" w:rsidRPr="00DA2F88" w:rsidRDefault="00A0277B" w:rsidP="00DA2F88">
            <w:pPr>
              <w:jc w:val="center"/>
              <w:rPr>
                <w:b/>
                <w:i/>
              </w:rPr>
            </w:pPr>
          </w:p>
        </w:tc>
        <w:tc>
          <w:tcPr>
            <w:tcW w:w="4606" w:type="dxa"/>
          </w:tcPr>
          <w:p w:rsidR="00DA2F88" w:rsidRPr="00DA2F88" w:rsidRDefault="00405D44" w:rsidP="00DA2F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kenmerken</w:t>
            </w:r>
          </w:p>
        </w:tc>
      </w:tr>
      <w:tr w:rsidR="005D1319" w:rsidTr="00647196">
        <w:tc>
          <w:tcPr>
            <w:tcW w:w="4606" w:type="dxa"/>
          </w:tcPr>
          <w:p w:rsidR="005D1319" w:rsidRDefault="005D1319" w:rsidP="00840712">
            <w:pPr>
              <w:rPr>
                <w:b/>
              </w:rPr>
            </w:pPr>
            <w:r w:rsidRPr="005D1319">
              <w:rPr>
                <w:b/>
              </w:rPr>
              <w:t>Algemeen</w:t>
            </w:r>
          </w:p>
          <w:p w:rsidR="007E516D" w:rsidRPr="009A445C" w:rsidRDefault="007E516D" w:rsidP="00840712">
            <w:pPr>
              <w:rPr>
                <w:b/>
              </w:rPr>
            </w:pPr>
          </w:p>
        </w:tc>
        <w:tc>
          <w:tcPr>
            <w:tcW w:w="4606" w:type="dxa"/>
          </w:tcPr>
          <w:p w:rsidR="005D1319" w:rsidRDefault="005D1319" w:rsidP="00647196"/>
        </w:tc>
      </w:tr>
      <w:tr w:rsidR="00647196" w:rsidTr="00647196">
        <w:tc>
          <w:tcPr>
            <w:tcW w:w="4606" w:type="dxa"/>
          </w:tcPr>
          <w:p w:rsidR="00647196" w:rsidRPr="00D130B5" w:rsidRDefault="00647196" w:rsidP="0018270B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>Stageplaats</w:t>
            </w:r>
            <w:r w:rsidR="00386FC0" w:rsidRPr="00D130B5">
              <w:rPr>
                <w:sz w:val="20"/>
                <w:szCs w:val="20"/>
              </w:rPr>
              <w:t xml:space="preserve"> : is een pl</w:t>
            </w:r>
            <w:r w:rsidR="00840712" w:rsidRPr="00D130B5">
              <w:rPr>
                <w:sz w:val="20"/>
                <w:szCs w:val="20"/>
              </w:rPr>
              <w:t>aats</w:t>
            </w:r>
            <w:r w:rsidR="00386FC0" w:rsidRPr="00D130B5">
              <w:rPr>
                <w:sz w:val="20"/>
                <w:szCs w:val="20"/>
              </w:rPr>
              <w:t xml:space="preserve"> in VO – school </w:t>
            </w:r>
            <w:r w:rsidR="00840712" w:rsidRPr="00D130B5">
              <w:rPr>
                <w:sz w:val="20"/>
                <w:szCs w:val="20"/>
              </w:rPr>
              <w:t xml:space="preserve">om praktijkervaring op te doen </w:t>
            </w:r>
            <w:r w:rsidR="00386FC0" w:rsidRPr="00D130B5">
              <w:rPr>
                <w:sz w:val="20"/>
                <w:szCs w:val="20"/>
              </w:rPr>
              <w:t xml:space="preserve">waarbij de student </w:t>
            </w:r>
            <w:r w:rsidR="00127FA0" w:rsidRPr="00D130B5">
              <w:rPr>
                <w:sz w:val="20"/>
                <w:szCs w:val="20"/>
              </w:rPr>
              <w:t xml:space="preserve">wordt begeleid </w:t>
            </w:r>
            <w:r w:rsidR="00386FC0" w:rsidRPr="00D130B5">
              <w:rPr>
                <w:sz w:val="20"/>
                <w:szCs w:val="20"/>
              </w:rPr>
              <w:t>door een vakdocent</w:t>
            </w:r>
            <w:r w:rsidR="008362DC">
              <w:rPr>
                <w:sz w:val="20"/>
                <w:szCs w:val="20"/>
              </w:rPr>
              <w:t xml:space="preserve"> </w:t>
            </w:r>
            <w:r w:rsidR="0018270B">
              <w:rPr>
                <w:sz w:val="20"/>
                <w:szCs w:val="20"/>
              </w:rPr>
              <w:t xml:space="preserve">los van  de schoolontwikkeling en zonder bewuste aandacht voor </w:t>
            </w:r>
            <w:r w:rsidR="0018270B" w:rsidRPr="00D130B5">
              <w:rPr>
                <w:sz w:val="20"/>
                <w:szCs w:val="20"/>
              </w:rPr>
              <w:t>‘</w:t>
            </w:r>
            <w:proofErr w:type="spellStart"/>
            <w:r w:rsidR="0018270B" w:rsidRPr="00D130B5">
              <w:rPr>
                <w:sz w:val="20"/>
                <w:szCs w:val="20"/>
              </w:rPr>
              <w:t>affordance</w:t>
            </w:r>
            <w:proofErr w:type="spellEnd"/>
            <w:r w:rsidR="0018270B" w:rsidRPr="00D130B5">
              <w:rPr>
                <w:sz w:val="20"/>
                <w:szCs w:val="20"/>
              </w:rPr>
              <w:t>’ en ‘agency’</w:t>
            </w:r>
            <w:r w:rsidR="0018270B">
              <w:rPr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D54317" w:rsidRPr="00D130B5" w:rsidRDefault="00647196" w:rsidP="00375603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>Opleidingsplaats</w:t>
            </w:r>
            <w:r w:rsidR="00386FC0" w:rsidRPr="00D130B5">
              <w:rPr>
                <w:sz w:val="20"/>
                <w:szCs w:val="20"/>
              </w:rPr>
              <w:t xml:space="preserve">: is een </w:t>
            </w:r>
            <w:r w:rsidR="00A138C0" w:rsidRPr="00D130B5">
              <w:rPr>
                <w:sz w:val="20"/>
                <w:szCs w:val="20"/>
              </w:rPr>
              <w:t xml:space="preserve">kwalitatief hoogwaardige </w:t>
            </w:r>
            <w:r w:rsidR="00033E72">
              <w:rPr>
                <w:sz w:val="20"/>
                <w:szCs w:val="20"/>
              </w:rPr>
              <w:t>opleidingsplaats</w:t>
            </w:r>
            <w:r w:rsidR="004A5970" w:rsidRPr="00D130B5">
              <w:rPr>
                <w:sz w:val="20"/>
                <w:szCs w:val="20"/>
              </w:rPr>
              <w:t xml:space="preserve"> </w:t>
            </w:r>
            <w:r w:rsidR="00375603">
              <w:rPr>
                <w:sz w:val="20"/>
                <w:szCs w:val="20"/>
              </w:rPr>
              <w:t xml:space="preserve">waarbij de schoolontwikkeling uitgangspunt is en </w:t>
            </w:r>
            <w:r w:rsidR="00386FC0" w:rsidRPr="00D130B5">
              <w:rPr>
                <w:sz w:val="20"/>
                <w:szCs w:val="20"/>
              </w:rPr>
              <w:t>bewust en gericht</w:t>
            </w:r>
            <w:r w:rsidR="004A5970" w:rsidRPr="00D130B5">
              <w:rPr>
                <w:sz w:val="20"/>
                <w:szCs w:val="20"/>
              </w:rPr>
              <w:t xml:space="preserve"> aandacht wordt geschonken aan  ‘</w:t>
            </w:r>
            <w:proofErr w:type="spellStart"/>
            <w:r w:rsidR="004A5970" w:rsidRPr="00D130B5">
              <w:rPr>
                <w:sz w:val="20"/>
                <w:szCs w:val="20"/>
              </w:rPr>
              <w:t>affordance</w:t>
            </w:r>
            <w:proofErr w:type="spellEnd"/>
            <w:r w:rsidR="004A5970" w:rsidRPr="00D130B5">
              <w:rPr>
                <w:sz w:val="20"/>
                <w:szCs w:val="20"/>
              </w:rPr>
              <w:t>’ en ‘agency’ ( Timmermans 2012)</w:t>
            </w:r>
            <w:r w:rsidR="00375603">
              <w:rPr>
                <w:sz w:val="20"/>
                <w:szCs w:val="20"/>
              </w:rPr>
              <w:t xml:space="preserve">. </w:t>
            </w:r>
          </w:p>
        </w:tc>
      </w:tr>
      <w:tr w:rsidR="00960DF8" w:rsidTr="000D46A6">
        <w:tc>
          <w:tcPr>
            <w:tcW w:w="4606" w:type="dxa"/>
          </w:tcPr>
          <w:p w:rsidR="00960DF8" w:rsidRPr="00D130B5" w:rsidRDefault="00960DF8" w:rsidP="000D46A6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 xml:space="preserve">Basale samenwerking tussen instituut en scholen </w:t>
            </w:r>
          </w:p>
        </w:tc>
        <w:tc>
          <w:tcPr>
            <w:tcW w:w="4606" w:type="dxa"/>
          </w:tcPr>
          <w:p w:rsidR="00960DF8" w:rsidRPr="00D130B5" w:rsidRDefault="00960DF8" w:rsidP="000D46A6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>Vergaande samenwerking instituut en scholen (grote mate van wederzijdse afhankelijkheid</w:t>
            </w:r>
            <w:r w:rsidRPr="00D130B5">
              <w:rPr>
                <w:rStyle w:val="Voetnootmarkering"/>
                <w:sz w:val="20"/>
                <w:szCs w:val="20"/>
              </w:rPr>
              <w:footnoteReference w:id="1"/>
            </w:r>
            <w:r w:rsidRPr="00D130B5">
              <w:rPr>
                <w:sz w:val="20"/>
                <w:szCs w:val="20"/>
              </w:rPr>
              <w:t xml:space="preserve">)  </w:t>
            </w:r>
          </w:p>
        </w:tc>
      </w:tr>
      <w:tr w:rsidR="00386FC0" w:rsidTr="00647196">
        <w:tc>
          <w:tcPr>
            <w:tcW w:w="4606" w:type="dxa"/>
          </w:tcPr>
          <w:p w:rsidR="00386FC0" w:rsidRPr="00D130B5" w:rsidRDefault="00386FC0" w:rsidP="00386FC0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 xml:space="preserve">Het is afhankelijk van de directie van een individuele VO –school of er sprake is van visie en onderwijsconcept bij het inzetten van docenten bij het begeleiden van studenten </w:t>
            </w:r>
            <w:r w:rsidR="00153871" w:rsidRPr="00D130B5">
              <w:rPr>
                <w:sz w:val="20"/>
                <w:szCs w:val="20"/>
              </w:rPr>
              <w:t>.</w:t>
            </w:r>
            <w:r w:rsidRPr="00D130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386FC0" w:rsidRPr="00D130B5" w:rsidRDefault="00386FC0" w:rsidP="00236531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 xml:space="preserve">De VO – scholen in een AOS kiezen bewust voor het opleiden in de </w:t>
            </w:r>
            <w:r w:rsidR="00645B41">
              <w:rPr>
                <w:sz w:val="20"/>
                <w:szCs w:val="20"/>
              </w:rPr>
              <w:t>school</w:t>
            </w:r>
            <w:r w:rsidRPr="00D130B5">
              <w:rPr>
                <w:sz w:val="20"/>
                <w:szCs w:val="20"/>
              </w:rPr>
              <w:t xml:space="preserve"> van studenten op basis van een gezamenlijke  visie en onderwijsconcept</w:t>
            </w:r>
            <w:r w:rsidR="007E516D">
              <w:rPr>
                <w:sz w:val="20"/>
                <w:szCs w:val="20"/>
              </w:rPr>
              <w:t>.</w:t>
            </w:r>
          </w:p>
        </w:tc>
      </w:tr>
      <w:tr w:rsidR="00FC5DEB" w:rsidTr="000D46A6">
        <w:tc>
          <w:tcPr>
            <w:tcW w:w="4606" w:type="dxa"/>
          </w:tcPr>
          <w:p w:rsidR="00FC5DEB" w:rsidRPr="00D130B5" w:rsidRDefault="00FC5DEB" w:rsidP="005813B2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>De student is gast op de VO –school en wordt vaak niet beschouwd als collega.</w:t>
            </w:r>
            <w:r w:rsidR="005813B2">
              <w:rPr>
                <w:sz w:val="20"/>
                <w:szCs w:val="20"/>
              </w:rPr>
              <w:t xml:space="preserve"> D</w:t>
            </w:r>
            <w:r w:rsidR="005813B2" w:rsidRPr="005813B2">
              <w:rPr>
                <w:sz w:val="20"/>
                <w:szCs w:val="20"/>
              </w:rPr>
              <w:t xml:space="preserve">e stage blijft </w:t>
            </w:r>
            <w:r w:rsidR="005813B2">
              <w:rPr>
                <w:sz w:val="20"/>
                <w:szCs w:val="20"/>
              </w:rPr>
              <w:t xml:space="preserve">zo </w:t>
            </w:r>
            <w:r w:rsidR="005813B2" w:rsidRPr="005813B2">
              <w:rPr>
                <w:sz w:val="20"/>
                <w:szCs w:val="20"/>
              </w:rPr>
              <w:t>een ge</w:t>
            </w:r>
            <w:r w:rsidR="005813B2">
              <w:rPr>
                <w:sz w:val="20"/>
                <w:szCs w:val="20"/>
              </w:rPr>
              <w:t>ï</w:t>
            </w:r>
            <w:r w:rsidR="005813B2" w:rsidRPr="005813B2">
              <w:rPr>
                <w:sz w:val="20"/>
                <w:szCs w:val="20"/>
              </w:rPr>
              <w:t xml:space="preserve">soleerde activiteit op een school. </w:t>
            </w:r>
          </w:p>
        </w:tc>
        <w:tc>
          <w:tcPr>
            <w:tcW w:w="4606" w:type="dxa"/>
          </w:tcPr>
          <w:p w:rsidR="00FC5DEB" w:rsidRPr="00D130B5" w:rsidRDefault="00FC5DEB" w:rsidP="000D46A6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>De student heeft zijn basis in de schoolpraktijk, wordt gezien als collega in opleiding.</w:t>
            </w:r>
            <w:r w:rsidR="005813B2">
              <w:rPr>
                <w:sz w:val="20"/>
                <w:szCs w:val="20"/>
              </w:rPr>
              <w:t xml:space="preserve"> De leerwerkplek legt een relatie met de schoolontwikkeling.</w:t>
            </w:r>
          </w:p>
        </w:tc>
      </w:tr>
      <w:tr w:rsidR="00FC5DEB" w:rsidTr="000D46A6">
        <w:tc>
          <w:tcPr>
            <w:tcW w:w="4606" w:type="dxa"/>
          </w:tcPr>
          <w:p w:rsidR="00FC5DEB" w:rsidRPr="00D130B5" w:rsidRDefault="00FC5DEB" w:rsidP="000D46A6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>Docenten van het instituut weten zich vooral belast met het cursorische / theoretische deel van de opleiding en in veel geringere mate bij het praktische deel</w:t>
            </w:r>
          </w:p>
        </w:tc>
        <w:tc>
          <w:tcPr>
            <w:tcW w:w="4606" w:type="dxa"/>
          </w:tcPr>
          <w:p w:rsidR="00FC5DEB" w:rsidRPr="00D130B5" w:rsidRDefault="00FC5DEB" w:rsidP="000D46A6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 xml:space="preserve">Docenten van scholen en lerarenopleiding </w:t>
            </w:r>
            <w:r w:rsidR="00B14A96" w:rsidRPr="00D130B5">
              <w:rPr>
                <w:sz w:val="20"/>
                <w:szCs w:val="20"/>
              </w:rPr>
              <w:t xml:space="preserve">ontwikkelen en </w:t>
            </w:r>
            <w:r w:rsidR="00D15240">
              <w:rPr>
                <w:sz w:val="20"/>
                <w:szCs w:val="20"/>
              </w:rPr>
              <w:t xml:space="preserve">verzorgen samen het </w:t>
            </w:r>
            <w:proofErr w:type="spellStart"/>
            <w:r w:rsidR="00D15240">
              <w:rPr>
                <w:sz w:val="20"/>
                <w:szCs w:val="20"/>
              </w:rPr>
              <w:t>OidS</w:t>
            </w:r>
            <w:proofErr w:type="spellEnd"/>
            <w:r w:rsidR="00D15240">
              <w:rPr>
                <w:sz w:val="20"/>
                <w:szCs w:val="20"/>
              </w:rPr>
              <w:t xml:space="preserve"> –traject.</w:t>
            </w:r>
            <w:r w:rsidRPr="00D130B5">
              <w:rPr>
                <w:sz w:val="20"/>
                <w:szCs w:val="20"/>
              </w:rPr>
              <w:t xml:space="preserve"> </w:t>
            </w:r>
          </w:p>
          <w:p w:rsidR="00FC5DEB" w:rsidRPr="00D130B5" w:rsidRDefault="00FC5DEB" w:rsidP="000D46A6">
            <w:pPr>
              <w:rPr>
                <w:sz w:val="20"/>
                <w:szCs w:val="20"/>
              </w:rPr>
            </w:pPr>
          </w:p>
        </w:tc>
      </w:tr>
      <w:tr w:rsidR="00FC5DEB" w:rsidTr="000D46A6">
        <w:tc>
          <w:tcPr>
            <w:tcW w:w="4606" w:type="dxa"/>
          </w:tcPr>
          <w:p w:rsidR="00FC5DEB" w:rsidRPr="00D130B5" w:rsidRDefault="00FC5DEB" w:rsidP="000D46A6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 xml:space="preserve">Expertise-ontwikkeling in verband met de opleiding vooral vanuit perspectief van de lerarenopleiding </w:t>
            </w:r>
          </w:p>
        </w:tc>
        <w:tc>
          <w:tcPr>
            <w:tcW w:w="4606" w:type="dxa"/>
          </w:tcPr>
          <w:p w:rsidR="00FC5DEB" w:rsidRPr="00D130B5" w:rsidRDefault="00FC5DEB" w:rsidP="000D46A6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 xml:space="preserve">Expertise-ontwikkeling in verband met de </w:t>
            </w:r>
            <w:r w:rsidR="000D4151">
              <w:rPr>
                <w:sz w:val="20"/>
                <w:szCs w:val="20"/>
              </w:rPr>
              <w:t>docent</w:t>
            </w:r>
            <w:r w:rsidRPr="00D130B5">
              <w:rPr>
                <w:sz w:val="20"/>
                <w:szCs w:val="20"/>
              </w:rPr>
              <w:t xml:space="preserve">opleiding zowel vanuit perspectief van lerarenopleiding als </w:t>
            </w:r>
            <w:r w:rsidR="000D4151">
              <w:rPr>
                <w:sz w:val="20"/>
                <w:szCs w:val="20"/>
              </w:rPr>
              <w:t xml:space="preserve">van het </w:t>
            </w:r>
            <w:r w:rsidRPr="00D130B5">
              <w:rPr>
                <w:sz w:val="20"/>
                <w:szCs w:val="20"/>
              </w:rPr>
              <w:t xml:space="preserve">beroepenveld    </w:t>
            </w:r>
          </w:p>
          <w:p w:rsidR="00FC5DEB" w:rsidRPr="00D130B5" w:rsidRDefault="00FC5DEB" w:rsidP="000D46A6">
            <w:pPr>
              <w:rPr>
                <w:sz w:val="20"/>
                <w:szCs w:val="20"/>
              </w:rPr>
            </w:pPr>
          </w:p>
        </w:tc>
      </w:tr>
      <w:tr w:rsidR="00FC5DEB" w:rsidTr="00647196">
        <w:tc>
          <w:tcPr>
            <w:tcW w:w="4606" w:type="dxa"/>
          </w:tcPr>
          <w:p w:rsidR="00FC5DEB" w:rsidRPr="00CF735D" w:rsidRDefault="00FC5DEB" w:rsidP="00CF735D">
            <w:pPr>
              <w:rPr>
                <w:sz w:val="20"/>
                <w:szCs w:val="20"/>
              </w:rPr>
            </w:pPr>
          </w:p>
          <w:p w:rsidR="001926A6" w:rsidRPr="00CF735D" w:rsidRDefault="001926A6" w:rsidP="00CF735D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7E516D" w:rsidRPr="007E516D" w:rsidRDefault="00FC0488" w:rsidP="00236531">
            <w:pPr>
              <w:rPr>
                <w:sz w:val="20"/>
                <w:szCs w:val="20"/>
              </w:rPr>
            </w:pPr>
            <w:r w:rsidRPr="00FC0488">
              <w:rPr>
                <w:sz w:val="20"/>
                <w:szCs w:val="20"/>
              </w:rPr>
              <w:t>Realistisch opleiden: aansluiten op actuele ervaringen en concerns, theorie met kleine t (praktisch bruikbaar) (Korthagen, 2001)</w:t>
            </w:r>
          </w:p>
        </w:tc>
      </w:tr>
      <w:tr w:rsidR="005D1319" w:rsidTr="00647196">
        <w:tc>
          <w:tcPr>
            <w:tcW w:w="4606" w:type="dxa"/>
          </w:tcPr>
          <w:p w:rsidR="005D1319" w:rsidRDefault="00D15240" w:rsidP="00960DF8">
            <w:pPr>
              <w:rPr>
                <w:b/>
              </w:rPr>
            </w:pPr>
            <w:r>
              <w:rPr>
                <w:b/>
              </w:rPr>
              <w:t>Opleiden</w:t>
            </w:r>
          </w:p>
          <w:p w:rsidR="007E516D" w:rsidRPr="009A445C" w:rsidRDefault="007E516D" w:rsidP="00960DF8">
            <w:pPr>
              <w:rPr>
                <w:b/>
              </w:rPr>
            </w:pPr>
          </w:p>
        </w:tc>
        <w:tc>
          <w:tcPr>
            <w:tcW w:w="4606" w:type="dxa"/>
          </w:tcPr>
          <w:p w:rsidR="005D1319" w:rsidRDefault="005D1319" w:rsidP="000D46A6"/>
        </w:tc>
      </w:tr>
      <w:tr w:rsidR="00960DF8" w:rsidTr="00647196">
        <w:tc>
          <w:tcPr>
            <w:tcW w:w="4606" w:type="dxa"/>
          </w:tcPr>
          <w:p w:rsidR="00960DF8" w:rsidRPr="00D130B5" w:rsidRDefault="0013319B" w:rsidP="00133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inhoud van de opleiding wordt door het instituut bepaald en omvat vooral stage-opdrachten. </w:t>
            </w:r>
          </w:p>
        </w:tc>
        <w:tc>
          <w:tcPr>
            <w:tcW w:w="4606" w:type="dxa"/>
          </w:tcPr>
          <w:p w:rsidR="00960DF8" w:rsidRPr="00143096" w:rsidRDefault="00555896" w:rsidP="000D46A6">
            <w:pPr>
              <w:rPr>
                <w:sz w:val="20"/>
                <w:szCs w:val="20"/>
              </w:rPr>
            </w:pPr>
            <w:r w:rsidRPr="00143096">
              <w:rPr>
                <w:sz w:val="20"/>
                <w:szCs w:val="20"/>
              </w:rPr>
              <w:t>De inhoud van</w:t>
            </w:r>
            <w:r w:rsidR="00115147" w:rsidRPr="00143096">
              <w:rPr>
                <w:sz w:val="20"/>
                <w:szCs w:val="20"/>
              </w:rPr>
              <w:t xml:space="preserve"> </w:t>
            </w:r>
            <w:r w:rsidRPr="00143096">
              <w:rPr>
                <w:sz w:val="20"/>
                <w:szCs w:val="20"/>
              </w:rPr>
              <w:t xml:space="preserve">het </w:t>
            </w:r>
            <w:proofErr w:type="spellStart"/>
            <w:r w:rsidR="00115147" w:rsidRPr="00143096">
              <w:rPr>
                <w:sz w:val="20"/>
                <w:szCs w:val="20"/>
              </w:rPr>
              <w:t>OidS</w:t>
            </w:r>
            <w:proofErr w:type="spellEnd"/>
            <w:r w:rsidR="00115147" w:rsidRPr="00143096">
              <w:rPr>
                <w:sz w:val="20"/>
                <w:szCs w:val="20"/>
              </w:rPr>
              <w:t xml:space="preserve"> </w:t>
            </w:r>
            <w:r w:rsidRPr="00143096">
              <w:rPr>
                <w:sz w:val="20"/>
                <w:szCs w:val="20"/>
              </w:rPr>
              <w:t xml:space="preserve">traject </w:t>
            </w:r>
            <w:r w:rsidR="00115147" w:rsidRPr="00143096">
              <w:rPr>
                <w:sz w:val="20"/>
                <w:szCs w:val="20"/>
              </w:rPr>
              <w:t xml:space="preserve"> wordt vormgegeven, bepaald en uitgevoerd door </w:t>
            </w:r>
            <w:r w:rsidR="00F0518E">
              <w:rPr>
                <w:sz w:val="20"/>
                <w:szCs w:val="20"/>
              </w:rPr>
              <w:t>instituut é</w:t>
            </w:r>
            <w:r w:rsidR="00960DF8" w:rsidRPr="00143096">
              <w:rPr>
                <w:sz w:val="20"/>
                <w:szCs w:val="20"/>
              </w:rPr>
              <w:t>n scholen</w:t>
            </w:r>
          </w:p>
          <w:p w:rsidR="00960DF8" w:rsidRPr="00143096" w:rsidRDefault="00960DF8" w:rsidP="000D46A6">
            <w:pPr>
              <w:rPr>
                <w:sz w:val="20"/>
                <w:szCs w:val="20"/>
              </w:rPr>
            </w:pPr>
          </w:p>
        </w:tc>
      </w:tr>
      <w:tr w:rsidR="005D1319" w:rsidTr="000D46A6">
        <w:tc>
          <w:tcPr>
            <w:tcW w:w="4606" w:type="dxa"/>
          </w:tcPr>
          <w:p w:rsidR="005D1319" w:rsidRPr="00D130B5" w:rsidRDefault="005D1319" w:rsidP="005D1319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>Afspraken over stage-deel van de opleiding variëren per VO- school</w:t>
            </w:r>
          </w:p>
        </w:tc>
        <w:tc>
          <w:tcPr>
            <w:tcW w:w="4606" w:type="dxa"/>
          </w:tcPr>
          <w:p w:rsidR="005D1319" w:rsidRDefault="005D1319" w:rsidP="00B14A96">
            <w:pPr>
              <w:rPr>
                <w:sz w:val="20"/>
                <w:szCs w:val="20"/>
              </w:rPr>
            </w:pPr>
            <w:r w:rsidRPr="00143096">
              <w:rPr>
                <w:sz w:val="20"/>
                <w:szCs w:val="20"/>
              </w:rPr>
              <w:t xml:space="preserve">Uniforme afspraken over </w:t>
            </w:r>
            <w:r w:rsidR="00B14A96" w:rsidRPr="00143096">
              <w:rPr>
                <w:sz w:val="20"/>
                <w:szCs w:val="20"/>
              </w:rPr>
              <w:t xml:space="preserve">opleiden, begeleiden en beoordelen </w:t>
            </w:r>
            <w:r w:rsidRPr="00143096">
              <w:rPr>
                <w:sz w:val="20"/>
                <w:szCs w:val="20"/>
              </w:rPr>
              <w:t>op  AOS-scholen</w:t>
            </w:r>
          </w:p>
          <w:p w:rsidR="007E516D" w:rsidRPr="00143096" w:rsidRDefault="007E516D" w:rsidP="00B14A96">
            <w:pPr>
              <w:rPr>
                <w:sz w:val="20"/>
                <w:szCs w:val="20"/>
              </w:rPr>
            </w:pPr>
          </w:p>
        </w:tc>
      </w:tr>
      <w:tr w:rsidR="00FC5DEB" w:rsidTr="000D46A6">
        <w:tc>
          <w:tcPr>
            <w:tcW w:w="4606" w:type="dxa"/>
          </w:tcPr>
          <w:p w:rsidR="00FC5DEB" w:rsidRPr="00D130B5" w:rsidRDefault="00FC5DEB" w:rsidP="000D46A6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>Theorie en praktijk hebben  vooral los van elkaar en vaak volgtijdelijk een plaats in de opleiding</w:t>
            </w:r>
          </w:p>
        </w:tc>
        <w:tc>
          <w:tcPr>
            <w:tcW w:w="4606" w:type="dxa"/>
          </w:tcPr>
          <w:p w:rsidR="00FC5DEB" w:rsidRPr="00143096" w:rsidRDefault="00FC5DEB" w:rsidP="00555896">
            <w:pPr>
              <w:rPr>
                <w:sz w:val="20"/>
                <w:szCs w:val="20"/>
              </w:rPr>
            </w:pPr>
            <w:r w:rsidRPr="00143096">
              <w:rPr>
                <w:sz w:val="20"/>
                <w:szCs w:val="20"/>
              </w:rPr>
              <w:t>Praktijk en theorie worden bewust , systematisch en in wi</w:t>
            </w:r>
            <w:r w:rsidR="00555896" w:rsidRPr="00143096">
              <w:rPr>
                <w:sz w:val="20"/>
                <w:szCs w:val="20"/>
              </w:rPr>
              <w:t>sselwerking met elkaar aangeboden, verbonden, verwerkt en getoetst.</w:t>
            </w:r>
          </w:p>
        </w:tc>
      </w:tr>
      <w:tr w:rsidR="00FC5DEB" w:rsidTr="000D46A6">
        <w:tc>
          <w:tcPr>
            <w:tcW w:w="4606" w:type="dxa"/>
          </w:tcPr>
          <w:p w:rsidR="00FC5DEB" w:rsidRPr="00D130B5" w:rsidRDefault="00FC5DEB" w:rsidP="00BC6440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 xml:space="preserve">Studenten </w:t>
            </w:r>
            <w:r w:rsidR="00BC6440">
              <w:rPr>
                <w:sz w:val="20"/>
                <w:szCs w:val="20"/>
              </w:rPr>
              <w:t xml:space="preserve">opereren tijdens de stage </w:t>
            </w:r>
            <w:r w:rsidRPr="00D130B5">
              <w:rPr>
                <w:sz w:val="20"/>
                <w:szCs w:val="20"/>
              </w:rPr>
              <w:t xml:space="preserve">in de regel </w:t>
            </w:r>
            <w:r w:rsidR="00BC6440">
              <w:rPr>
                <w:sz w:val="20"/>
                <w:szCs w:val="20"/>
              </w:rPr>
              <w:t xml:space="preserve">individueel </w:t>
            </w:r>
          </w:p>
        </w:tc>
        <w:tc>
          <w:tcPr>
            <w:tcW w:w="4606" w:type="dxa"/>
          </w:tcPr>
          <w:p w:rsidR="007E516D" w:rsidRPr="00143096" w:rsidRDefault="00FC5DEB" w:rsidP="000D46A6">
            <w:pPr>
              <w:rPr>
                <w:sz w:val="20"/>
                <w:szCs w:val="20"/>
              </w:rPr>
            </w:pPr>
            <w:r w:rsidRPr="00143096">
              <w:rPr>
                <w:sz w:val="20"/>
                <w:szCs w:val="20"/>
              </w:rPr>
              <w:t>Studenten vormen in de regel een lerende groep binnen de AOS en vaak ook binnen d</w:t>
            </w:r>
            <w:r w:rsidR="00BC6440" w:rsidRPr="00143096">
              <w:rPr>
                <w:sz w:val="20"/>
                <w:szCs w:val="20"/>
              </w:rPr>
              <w:t>e VO –school</w:t>
            </w:r>
          </w:p>
        </w:tc>
      </w:tr>
      <w:tr w:rsidR="00FC5DEB" w:rsidTr="000D46A6">
        <w:tc>
          <w:tcPr>
            <w:tcW w:w="4606" w:type="dxa"/>
          </w:tcPr>
          <w:p w:rsidR="00FC5DEB" w:rsidRPr="00D130B5" w:rsidRDefault="00FC5DEB" w:rsidP="000D46A6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>Beoordeling stage door instituutsopleider</w:t>
            </w:r>
          </w:p>
        </w:tc>
        <w:tc>
          <w:tcPr>
            <w:tcW w:w="4606" w:type="dxa"/>
          </w:tcPr>
          <w:p w:rsidR="00FC5DEB" w:rsidRPr="00143096" w:rsidRDefault="00521D88" w:rsidP="000D46A6">
            <w:pPr>
              <w:rPr>
                <w:sz w:val="20"/>
                <w:szCs w:val="20"/>
              </w:rPr>
            </w:pPr>
            <w:r w:rsidRPr="00143096">
              <w:rPr>
                <w:sz w:val="20"/>
                <w:szCs w:val="20"/>
              </w:rPr>
              <w:t xml:space="preserve">Beoordeling van het </w:t>
            </w:r>
            <w:proofErr w:type="spellStart"/>
            <w:r w:rsidRPr="00143096">
              <w:rPr>
                <w:sz w:val="20"/>
                <w:szCs w:val="20"/>
              </w:rPr>
              <w:t>OidS</w:t>
            </w:r>
            <w:proofErr w:type="spellEnd"/>
            <w:r w:rsidRPr="00143096">
              <w:rPr>
                <w:sz w:val="20"/>
                <w:szCs w:val="20"/>
              </w:rPr>
              <w:t xml:space="preserve"> traject ( opleiden, begeleiden, onderzoek, participeren) </w:t>
            </w:r>
            <w:r w:rsidR="00FC5DEB" w:rsidRPr="00143096">
              <w:rPr>
                <w:sz w:val="20"/>
                <w:szCs w:val="20"/>
              </w:rPr>
              <w:t xml:space="preserve">ligt bij </w:t>
            </w:r>
            <w:proofErr w:type="spellStart"/>
            <w:r w:rsidR="00FC5DEB" w:rsidRPr="00143096">
              <w:rPr>
                <w:sz w:val="20"/>
                <w:szCs w:val="20"/>
              </w:rPr>
              <w:t>spd</w:t>
            </w:r>
            <w:proofErr w:type="spellEnd"/>
            <w:r w:rsidR="00FC5DEB" w:rsidRPr="00143096">
              <w:rPr>
                <w:sz w:val="20"/>
                <w:szCs w:val="20"/>
              </w:rPr>
              <w:t xml:space="preserve">, </w:t>
            </w:r>
            <w:proofErr w:type="spellStart"/>
            <w:r w:rsidR="00FC5DEB" w:rsidRPr="00143096">
              <w:rPr>
                <w:sz w:val="20"/>
                <w:szCs w:val="20"/>
              </w:rPr>
              <w:t>od</w:t>
            </w:r>
            <w:proofErr w:type="spellEnd"/>
            <w:r w:rsidR="00FC5DEB" w:rsidRPr="00143096">
              <w:rPr>
                <w:sz w:val="20"/>
                <w:szCs w:val="20"/>
              </w:rPr>
              <w:t>, schoolopleider en instituutsopleider (intersubjectiviteit)</w:t>
            </w:r>
          </w:p>
        </w:tc>
      </w:tr>
      <w:tr w:rsidR="00FC5DEB" w:rsidTr="000D46A6">
        <w:tc>
          <w:tcPr>
            <w:tcW w:w="4606" w:type="dxa"/>
          </w:tcPr>
          <w:p w:rsidR="00FC5DEB" w:rsidRDefault="00FC5DEB" w:rsidP="000D46A6"/>
          <w:p w:rsidR="004D213D" w:rsidRDefault="004D213D" w:rsidP="000D46A6"/>
        </w:tc>
        <w:tc>
          <w:tcPr>
            <w:tcW w:w="4606" w:type="dxa"/>
          </w:tcPr>
          <w:p w:rsidR="007E516D" w:rsidRPr="00143096" w:rsidRDefault="00705761" w:rsidP="0070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 </w:t>
            </w:r>
            <w:r w:rsidRPr="00705761">
              <w:rPr>
                <w:sz w:val="20"/>
                <w:szCs w:val="20"/>
              </w:rPr>
              <w:t>ontwikkeling van professionalite</w:t>
            </w:r>
            <w:r>
              <w:rPr>
                <w:sz w:val="20"/>
                <w:szCs w:val="20"/>
              </w:rPr>
              <w:t>it door het doen van o</w:t>
            </w:r>
            <w:r w:rsidR="00521D88" w:rsidRPr="00143096">
              <w:rPr>
                <w:sz w:val="20"/>
                <w:szCs w:val="20"/>
              </w:rPr>
              <w:t xml:space="preserve">nderzoek in de context van de leeromgeving </w:t>
            </w:r>
            <w:r>
              <w:rPr>
                <w:sz w:val="20"/>
                <w:szCs w:val="20"/>
              </w:rPr>
              <w:lastRenderedPageBreak/>
              <w:t>krijgt binnen de AOS door de aanwezige randvoorwaarden meer kans. Z</w:t>
            </w:r>
            <w:r w:rsidR="00521D88" w:rsidRPr="00143096">
              <w:rPr>
                <w:sz w:val="20"/>
                <w:szCs w:val="20"/>
              </w:rPr>
              <w:t xml:space="preserve">owel de theorie als de </w:t>
            </w:r>
            <w:proofErr w:type="spellStart"/>
            <w:r w:rsidR="00521D88" w:rsidRPr="00143096">
              <w:rPr>
                <w:sz w:val="20"/>
                <w:szCs w:val="20"/>
              </w:rPr>
              <w:t>onderzoeksvaardigheden</w:t>
            </w:r>
            <w:proofErr w:type="spellEnd"/>
            <w:r w:rsidR="00521D88" w:rsidRPr="00143096">
              <w:rPr>
                <w:sz w:val="20"/>
                <w:szCs w:val="20"/>
              </w:rPr>
              <w:t xml:space="preserve"> als de begeleiding en beoordeling, vormt </w:t>
            </w:r>
            <w:r>
              <w:rPr>
                <w:sz w:val="20"/>
                <w:szCs w:val="20"/>
              </w:rPr>
              <w:t xml:space="preserve">hier </w:t>
            </w:r>
            <w:r w:rsidR="00521D88" w:rsidRPr="00143096">
              <w:rPr>
                <w:sz w:val="20"/>
                <w:szCs w:val="20"/>
              </w:rPr>
              <w:t xml:space="preserve">een wezenlijk onderdeel van het </w:t>
            </w:r>
            <w:proofErr w:type="spellStart"/>
            <w:r w:rsidR="00521D88" w:rsidRPr="00143096">
              <w:rPr>
                <w:sz w:val="20"/>
                <w:szCs w:val="20"/>
              </w:rPr>
              <w:t>OidS</w:t>
            </w:r>
            <w:proofErr w:type="spellEnd"/>
            <w:r w:rsidR="00521D88" w:rsidRPr="00143096">
              <w:rPr>
                <w:sz w:val="20"/>
                <w:szCs w:val="20"/>
              </w:rPr>
              <w:t xml:space="preserve"> traject </w:t>
            </w:r>
          </w:p>
        </w:tc>
      </w:tr>
      <w:tr w:rsidR="00FC5DEB" w:rsidTr="000D46A6">
        <w:tc>
          <w:tcPr>
            <w:tcW w:w="4606" w:type="dxa"/>
          </w:tcPr>
          <w:p w:rsidR="001926A6" w:rsidRDefault="00FC5DEB" w:rsidP="000D46A6">
            <w:pPr>
              <w:rPr>
                <w:b/>
              </w:rPr>
            </w:pPr>
            <w:r w:rsidRPr="00FC5DEB">
              <w:rPr>
                <w:b/>
              </w:rPr>
              <w:lastRenderedPageBreak/>
              <w:t>Begeleiding</w:t>
            </w:r>
          </w:p>
          <w:p w:rsidR="007E516D" w:rsidRPr="00FC5DEB" w:rsidRDefault="007E516D" w:rsidP="000D46A6">
            <w:pPr>
              <w:rPr>
                <w:b/>
              </w:rPr>
            </w:pPr>
          </w:p>
        </w:tc>
        <w:tc>
          <w:tcPr>
            <w:tcW w:w="4606" w:type="dxa"/>
          </w:tcPr>
          <w:p w:rsidR="00FC5DEB" w:rsidRDefault="00FC5DEB" w:rsidP="000D46A6"/>
        </w:tc>
      </w:tr>
      <w:tr w:rsidR="00FC5DEB" w:rsidTr="000D46A6">
        <w:tc>
          <w:tcPr>
            <w:tcW w:w="4606" w:type="dxa"/>
          </w:tcPr>
          <w:p w:rsidR="00FC5DEB" w:rsidRPr="00D130B5" w:rsidRDefault="00FC5DEB" w:rsidP="00FC5DEB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>De VO -docent is de enige begeleider van de student op de werkvloer ; de vakdocent op de lerarenopleiding is op afstand.</w:t>
            </w:r>
          </w:p>
        </w:tc>
        <w:tc>
          <w:tcPr>
            <w:tcW w:w="4606" w:type="dxa"/>
          </w:tcPr>
          <w:p w:rsidR="00FC5DEB" w:rsidRPr="00D130B5" w:rsidRDefault="00FC5DEB" w:rsidP="000D46A6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 xml:space="preserve">De instituutsopleider, schoolopleider, opleidingsdocent en spd  zijn ieder vanuit de eigen rol beschikbaar voor de begeleiding van de student. </w:t>
            </w:r>
          </w:p>
        </w:tc>
      </w:tr>
      <w:tr w:rsidR="00FC5DEB" w:rsidTr="000D46A6">
        <w:tc>
          <w:tcPr>
            <w:tcW w:w="4606" w:type="dxa"/>
          </w:tcPr>
          <w:p w:rsidR="00FC5DEB" w:rsidRPr="00D130B5" w:rsidRDefault="00FC5DEB" w:rsidP="000D46A6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7E516D" w:rsidRPr="00D130B5" w:rsidRDefault="0042761B" w:rsidP="0042761B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 xml:space="preserve">De AOS als samenwerkingsverband verbindt op school en </w:t>
            </w:r>
            <w:proofErr w:type="spellStart"/>
            <w:r w:rsidRPr="00D130B5">
              <w:rPr>
                <w:sz w:val="20"/>
                <w:szCs w:val="20"/>
              </w:rPr>
              <w:t>bovenschools</w:t>
            </w:r>
            <w:proofErr w:type="spellEnd"/>
            <w:r w:rsidRPr="00D130B5">
              <w:rPr>
                <w:sz w:val="20"/>
                <w:szCs w:val="20"/>
              </w:rPr>
              <w:t xml:space="preserve"> niveau (praktijkgericht )onderzoek aan het opleiden van docenten en de schoolontwikkeling.  Dat gebeurt onder meer door onderzoek een plaats te geven in de </w:t>
            </w:r>
            <w:proofErr w:type="spellStart"/>
            <w:r w:rsidRPr="00D130B5">
              <w:rPr>
                <w:sz w:val="20"/>
                <w:szCs w:val="20"/>
              </w:rPr>
              <w:t>OidS</w:t>
            </w:r>
            <w:proofErr w:type="spellEnd"/>
            <w:r w:rsidRPr="00D130B5">
              <w:rPr>
                <w:sz w:val="20"/>
                <w:szCs w:val="20"/>
              </w:rPr>
              <w:t xml:space="preserve"> route.</w:t>
            </w:r>
          </w:p>
        </w:tc>
      </w:tr>
      <w:tr w:rsidR="005D1319" w:rsidTr="000D46A6">
        <w:tc>
          <w:tcPr>
            <w:tcW w:w="4606" w:type="dxa"/>
          </w:tcPr>
          <w:p w:rsidR="005D1319" w:rsidRDefault="005D1319" w:rsidP="000D46A6">
            <w:pPr>
              <w:rPr>
                <w:b/>
              </w:rPr>
            </w:pPr>
            <w:r w:rsidRPr="005D1319">
              <w:rPr>
                <w:b/>
              </w:rPr>
              <w:t>Organisatie</w:t>
            </w:r>
          </w:p>
          <w:p w:rsidR="00C15AAF" w:rsidRPr="005D1319" w:rsidRDefault="00C15AAF" w:rsidP="000D46A6">
            <w:pPr>
              <w:rPr>
                <w:b/>
              </w:rPr>
            </w:pPr>
          </w:p>
        </w:tc>
        <w:tc>
          <w:tcPr>
            <w:tcW w:w="4606" w:type="dxa"/>
          </w:tcPr>
          <w:p w:rsidR="005D1319" w:rsidRDefault="005D1319" w:rsidP="000D46A6"/>
        </w:tc>
      </w:tr>
      <w:tr w:rsidR="00580AAC" w:rsidTr="000D46A6">
        <w:tc>
          <w:tcPr>
            <w:tcW w:w="4606" w:type="dxa"/>
          </w:tcPr>
          <w:p w:rsidR="004B38B5" w:rsidRDefault="004B38B5" w:rsidP="000D4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stageplaats wordt door het instituut ( 1</w:t>
            </w:r>
            <w:r w:rsidRPr="004B38B5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jaar) of door student gezocht. </w:t>
            </w:r>
          </w:p>
          <w:p w:rsidR="00580AAC" w:rsidRPr="00D130B5" w:rsidRDefault="00580AAC" w:rsidP="004B38B5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80AAC" w:rsidRPr="00D130B5" w:rsidRDefault="004B38B5" w:rsidP="000D4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is een pl</w:t>
            </w:r>
            <w:r w:rsidR="00EF785F" w:rsidRPr="00D130B5">
              <w:rPr>
                <w:sz w:val="20"/>
                <w:szCs w:val="20"/>
              </w:rPr>
              <w:t>aatsing</w:t>
            </w:r>
            <w:r>
              <w:rPr>
                <w:sz w:val="20"/>
                <w:szCs w:val="20"/>
              </w:rPr>
              <w:t xml:space="preserve">sbeleid. </w:t>
            </w:r>
            <w:r w:rsidR="00564EF5">
              <w:rPr>
                <w:sz w:val="20"/>
                <w:szCs w:val="20"/>
              </w:rPr>
              <w:t xml:space="preserve">Het plaatsen </w:t>
            </w:r>
            <w:r>
              <w:rPr>
                <w:sz w:val="20"/>
                <w:szCs w:val="20"/>
              </w:rPr>
              <w:t>van s</w:t>
            </w:r>
            <w:r w:rsidR="00EF785F" w:rsidRPr="00D130B5">
              <w:rPr>
                <w:sz w:val="20"/>
                <w:szCs w:val="20"/>
              </w:rPr>
              <w:t>tudenten</w:t>
            </w:r>
            <w:r w:rsidR="00564EF5">
              <w:rPr>
                <w:sz w:val="20"/>
                <w:szCs w:val="20"/>
              </w:rPr>
              <w:t xml:space="preserve"> op een opleidingsplaats </w:t>
            </w:r>
            <w:r w:rsidR="00EF785F" w:rsidRPr="00D130B5">
              <w:rPr>
                <w:sz w:val="20"/>
                <w:szCs w:val="20"/>
              </w:rPr>
              <w:t xml:space="preserve"> wordt</w:t>
            </w:r>
            <w:r w:rsidR="00FC5DEB" w:rsidRPr="00D130B5">
              <w:rPr>
                <w:sz w:val="20"/>
                <w:szCs w:val="20"/>
              </w:rPr>
              <w:t xml:space="preserve"> gecoördineerd </w:t>
            </w:r>
            <w:r w:rsidR="00580AAC" w:rsidRPr="00D130B5">
              <w:rPr>
                <w:sz w:val="20"/>
                <w:szCs w:val="20"/>
              </w:rPr>
              <w:t>door</w:t>
            </w:r>
            <w:r w:rsidR="00EF785F" w:rsidRPr="00D130B5">
              <w:rPr>
                <w:sz w:val="20"/>
                <w:szCs w:val="20"/>
              </w:rPr>
              <w:t xml:space="preserve"> </w:t>
            </w:r>
            <w:r w:rsidR="00580AAC" w:rsidRPr="00D130B5">
              <w:rPr>
                <w:sz w:val="20"/>
                <w:szCs w:val="20"/>
              </w:rPr>
              <w:t xml:space="preserve"> AOS</w:t>
            </w:r>
            <w:r>
              <w:rPr>
                <w:sz w:val="20"/>
                <w:szCs w:val="20"/>
              </w:rPr>
              <w:t xml:space="preserve"> waarbij rekening wordt gehouden met eerdere ervaringen. </w:t>
            </w:r>
          </w:p>
        </w:tc>
      </w:tr>
      <w:tr w:rsidR="000F35D2" w:rsidTr="000D46A6">
        <w:tc>
          <w:tcPr>
            <w:tcW w:w="4606" w:type="dxa"/>
          </w:tcPr>
          <w:p w:rsidR="000F35D2" w:rsidRDefault="000F35D2" w:rsidP="000D46A6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0F35D2" w:rsidRDefault="000F35D2" w:rsidP="00C1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stuurgroep, opleidingsoverleg en kernteam is er een georganiseerd overleg over </w:t>
            </w:r>
            <w:r w:rsidR="00C15AAF">
              <w:rPr>
                <w:sz w:val="20"/>
                <w:szCs w:val="20"/>
              </w:rPr>
              <w:t xml:space="preserve">het programma en de </w:t>
            </w:r>
            <w:r>
              <w:rPr>
                <w:sz w:val="20"/>
                <w:szCs w:val="20"/>
              </w:rPr>
              <w:t xml:space="preserve"> kwaliteit </w:t>
            </w:r>
            <w:r w:rsidR="00C15AAF">
              <w:rPr>
                <w:sz w:val="20"/>
                <w:szCs w:val="20"/>
              </w:rPr>
              <w:t>van uitvoering in relatie tot het leren van studenten.</w:t>
            </w:r>
          </w:p>
        </w:tc>
      </w:tr>
      <w:tr w:rsidR="003A0713" w:rsidTr="000D46A6">
        <w:tc>
          <w:tcPr>
            <w:tcW w:w="4606" w:type="dxa"/>
          </w:tcPr>
          <w:p w:rsidR="003A0713" w:rsidRDefault="003A0713" w:rsidP="000D46A6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7E516D" w:rsidRDefault="003A0713" w:rsidP="003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AOS brengt medewerkers van de lerarenopleiding en de VO –scholen dichter bij elkaar.</w:t>
            </w:r>
          </w:p>
        </w:tc>
      </w:tr>
      <w:tr w:rsidR="000F35D2" w:rsidTr="000D46A6">
        <w:tc>
          <w:tcPr>
            <w:tcW w:w="4606" w:type="dxa"/>
          </w:tcPr>
          <w:p w:rsidR="00C15AAF" w:rsidRPr="000F35D2" w:rsidRDefault="000F35D2" w:rsidP="000D46A6">
            <w:pPr>
              <w:rPr>
                <w:b/>
                <w:sz w:val="20"/>
                <w:szCs w:val="20"/>
              </w:rPr>
            </w:pPr>
            <w:r w:rsidRPr="000F35D2">
              <w:rPr>
                <w:b/>
                <w:sz w:val="20"/>
                <w:szCs w:val="20"/>
              </w:rPr>
              <w:t>Kwaliteit</w:t>
            </w:r>
          </w:p>
        </w:tc>
        <w:tc>
          <w:tcPr>
            <w:tcW w:w="4606" w:type="dxa"/>
          </w:tcPr>
          <w:p w:rsidR="000F35D2" w:rsidRPr="00D130B5" w:rsidRDefault="000F35D2" w:rsidP="000D46A6">
            <w:pPr>
              <w:rPr>
                <w:sz w:val="20"/>
                <w:szCs w:val="20"/>
              </w:rPr>
            </w:pPr>
          </w:p>
        </w:tc>
      </w:tr>
      <w:tr w:rsidR="00580AAC" w:rsidTr="000D46A6">
        <w:tc>
          <w:tcPr>
            <w:tcW w:w="4606" w:type="dxa"/>
          </w:tcPr>
          <w:p w:rsidR="00580AAC" w:rsidRPr="00D130B5" w:rsidRDefault="00580AAC" w:rsidP="000D46A6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7E516D" w:rsidRPr="00D130B5" w:rsidRDefault="00FC5DEB" w:rsidP="000D46A6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 xml:space="preserve">Binnen AOS –scholen is er systematisch en gerichte aandacht voor de deskundigheid van de schoolopleider, opleidingsdocent en </w:t>
            </w:r>
            <w:proofErr w:type="spellStart"/>
            <w:r w:rsidRPr="00D130B5">
              <w:rPr>
                <w:sz w:val="20"/>
                <w:szCs w:val="20"/>
              </w:rPr>
              <w:t>spd</w:t>
            </w:r>
            <w:proofErr w:type="spellEnd"/>
          </w:p>
        </w:tc>
      </w:tr>
      <w:tr w:rsidR="00960DF8" w:rsidTr="00647196">
        <w:tc>
          <w:tcPr>
            <w:tcW w:w="4606" w:type="dxa"/>
          </w:tcPr>
          <w:p w:rsidR="00960DF8" w:rsidRPr="00D130B5" w:rsidRDefault="00960DF8" w:rsidP="0023653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960DF8" w:rsidRPr="00D130B5" w:rsidRDefault="00FC5DEB" w:rsidP="00236531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 xml:space="preserve">Binnen AOS –scholen is er specifiek kwaliteitszorgbeleid gericht op het leren  ( praktijk &lt;-&gt;theorie&lt; -&gt; onderzoek) van de student op zijn opleidingsplaats  en de kwaliteit van de begeleiding </w:t>
            </w:r>
          </w:p>
        </w:tc>
      </w:tr>
      <w:tr w:rsidR="00580AAC" w:rsidTr="000D46A6">
        <w:tc>
          <w:tcPr>
            <w:tcW w:w="4606" w:type="dxa"/>
          </w:tcPr>
          <w:p w:rsidR="00580AAC" w:rsidRPr="00D130B5" w:rsidRDefault="00580AAC" w:rsidP="000D46A6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7E516D" w:rsidRPr="00D130B5" w:rsidRDefault="001926A6" w:rsidP="00435DAB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 xml:space="preserve">De deskundigheidsbevordering  van </w:t>
            </w:r>
            <w:r w:rsidR="00435DAB">
              <w:rPr>
                <w:sz w:val="20"/>
                <w:szCs w:val="20"/>
              </w:rPr>
              <w:t xml:space="preserve">schoolopleiders, opleidingsdocenten </w:t>
            </w:r>
            <w:r w:rsidRPr="00D130B5">
              <w:rPr>
                <w:sz w:val="20"/>
                <w:szCs w:val="20"/>
              </w:rPr>
              <w:t xml:space="preserve">en </w:t>
            </w:r>
            <w:proofErr w:type="spellStart"/>
            <w:r w:rsidRPr="00D130B5">
              <w:rPr>
                <w:sz w:val="20"/>
                <w:szCs w:val="20"/>
              </w:rPr>
              <w:t>spd’en</w:t>
            </w:r>
            <w:proofErr w:type="spellEnd"/>
            <w:r w:rsidRPr="00D130B5">
              <w:rPr>
                <w:sz w:val="20"/>
                <w:szCs w:val="20"/>
              </w:rPr>
              <w:t xml:space="preserve"> </w:t>
            </w:r>
            <w:r w:rsidR="00983956" w:rsidRPr="00D130B5">
              <w:rPr>
                <w:sz w:val="20"/>
                <w:szCs w:val="20"/>
              </w:rPr>
              <w:t xml:space="preserve">maakt deel uit van het AOS –beleid en </w:t>
            </w:r>
            <w:r w:rsidRPr="00D130B5">
              <w:rPr>
                <w:sz w:val="20"/>
                <w:szCs w:val="20"/>
              </w:rPr>
              <w:t xml:space="preserve">wordt centraal opgezet en </w:t>
            </w:r>
            <w:r w:rsidR="00983956" w:rsidRPr="00D130B5">
              <w:rPr>
                <w:sz w:val="20"/>
                <w:szCs w:val="20"/>
              </w:rPr>
              <w:t>georganiseerd.</w:t>
            </w:r>
          </w:p>
        </w:tc>
      </w:tr>
      <w:tr w:rsidR="005D1319" w:rsidTr="000D46A6">
        <w:tc>
          <w:tcPr>
            <w:tcW w:w="4606" w:type="dxa"/>
          </w:tcPr>
          <w:p w:rsidR="005D1319" w:rsidRDefault="005D1319" w:rsidP="005D1319"/>
        </w:tc>
        <w:tc>
          <w:tcPr>
            <w:tcW w:w="4606" w:type="dxa"/>
          </w:tcPr>
          <w:p w:rsidR="00C15AAF" w:rsidRPr="009A445C" w:rsidRDefault="00CF735D" w:rsidP="005D1319">
            <w:pPr>
              <w:rPr>
                <w:sz w:val="20"/>
                <w:szCs w:val="20"/>
              </w:rPr>
            </w:pPr>
            <w:r w:rsidRPr="00CF735D">
              <w:rPr>
                <w:sz w:val="20"/>
                <w:szCs w:val="20"/>
              </w:rPr>
              <w:t>Er is sprake van een systematische</w:t>
            </w:r>
            <w:r w:rsidR="000D4151">
              <w:rPr>
                <w:sz w:val="20"/>
                <w:szCs w:val="20"/>
              </w:rPr>
              <w:t xml:space="preserve">re </w:t>
            </w:r>
            <w:r w:rsidRPr="00CF735D">
              <w:rPr>
                <w:sz w:val="20"/>
                <w:szCs w:val="20"/>
              </w:rPr>
              <w:t>gezamenlijke kwaliteitszorg</w:t>
            </w:r>
            <w:r>
              <w:rPr>
                <w:sz w:val="20"/>
                <w:szCs w:val="20"/>
              </w:rPr>
              <w:t>.</w:t>
            </w:r>
          </w:p>
        </w:tc>
      </w:tr>
      <w:tr w:rsidR="00960DF8" w:rsidTr="00647196">
        <w:tc>
          <w:tcPr>
            <w:tcW w:w="4606" w:type="dxa"/>
          </w:tcPr>
          <w:p w:rsidR="001926A6" w:rsidRDefault="004D213D" w:rsidP="00236531">
            <w:pPr>
              <w:rPr>
                <w:b/>
              </w:rPr>
            </w:pPr>
            <w:r w:rsidRPr="004D213D">
              <w:rPr>
                <w:b/>
              </w:rPr>
              <w:t>Divers</w:t>
            </w:r>
          </w:p>
          <w:p w:rsidR="007E516D" w:rsidRPr="004D213D" w:rsidRDefault="007E516D" w:rsidP="00236531">
            <w:pPr>
              <w:rPr>
                <w:b/>
              </w:rPr>
            </w:pPr>
          </w:p>
        </w:tc>
        <w:tc>
          <w:tcPr>
            <w:tcW w:w="4606" w:type="dxa"/>
          </w:tcPr>
          <w:p w:rsidR="00960DF8" w:rsidRDefault="00960DF8" w:rsidP="00236531"/>
        </w:tc>
      </w:tr>
      <w:tr w:rsidR="005D1319" w:rsidTr="00647196">
        <w:tc>
          <w:tcPr>
            <w:tcW w:w="4606" w:type="dxa"/>
          </w:tcPr>
          <w:p w:rsidR="005D1319" w:rsidRPr="00D130B5" w:rsidRDefault="005D1319" w:rsidP="0023653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D1319" w:rsidRPr="00D130B5" w:rsidRDefault="00C15AAF" w:rsidP="00C1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Gegeven de frequentie van het contacten op verschillende niveaus </w:t>
            </w:r>
            <w:r w:rsidR="0042761B" w:rsidRPr="00D130B5">
              <w:rPr>
                <w:sz w:val="20"/>
                <w:szCs w:val="20"/>
              </w:rPr>
              <w:t xml:space="preserve">biedt </w:t>
            </w:r>
            <w:r>
              <w:rPr>
                <w:sz w:val="20"/>
                <w:szCs w:val="20"/>
              </w:rPr>
              <w:t xml:space="preserve"> de AOS als samenwerkingsverband </w:t>
            </w:r>
            <w:r w:rsidR="0042761B" w:rsidRPr="00D130B5">
              <w:rPr>
                <w:sz w:val="20"/>
                <w:szCs w:val="20"/>
              </w:rPr>
              <w:t xml:space="preserve">een gemakkelijkere opstap </w:t>
            </w:r>
            <w:r w:rsidR="004D213D" w:rsidRPr="00D130B5">
              <w:rPr>
                <w:sz w:val="20"/>
                <w:szCs w:val="20"/>
              </w:rPr>
              <w:t xml:space="preserve"> tot </w:t>
            </w:r>
            <w:r w:rsidR="00A0277B" w:rsidRPr="00D130B5">
              <w:rPr>
                <w:sz w:val="20"/>
                <w:szCs w:val="20"/>
              </w:rPr>
              <w:t xml:space="preserve">verdere </w:t>
            </w:r>
            <w:r w:rsidR="004D213D" w:rsidRPr="00D130B5">
              <w:rPr>
                <w:sz w:val="20"/>
                <w:szCs w:val="20"/>
              </w:rPr>
              <w:t xml:space="preserve">samenwerking </w:t>
            </w:r>
            <w:r w:rsidR="001926A6" w:rsidRPr="00D130B5">
              <w:rPr>
                <w:sz w:val="20"/>
                <w:szCs w:val="20"/>
              </w:rPr>
              <w:t>tussen partners</w:t>
            </w:r>
            <w:r>
              <w:rPr>
                <w:sz w:val="20"/>
                <w:szCs w:val="20"/>
              </w:rPr>
              <w:t xml:space="preserve">. ( </w:t>
            </w:r>
            <w:r w:rsidR="001926A6" w:rsidRPr="00D130B5">
              <w:rPr>
                <w:sz w:val="20"/>
                <w:szCs w:val="20"/>
              </w:rPr>
              <w:t xml:space="preserve"> </w:t>
            </w:r>
            <w:r w:rsidR="004D213D" w:rsidRPr="00D130B5">
              <w:rPr>
                <w:sz w:val="20"/>
                <w:szCs w:val="20"/>
              </w:rPr>
              <w:t>bij</w:t>
            </w:r>
            <w:r>
              <w:rPr>
                <w:sz w:val="20"/>
                <w:szCs w:val="20"/>
              </w:rPr>
              <w:t>v.</w:t>
            </w:r>
            <w:r w:rsidR="004D213D" w:rsidRPr="00D130B5">
              <w:rPr>
                <w:sz w:val="20"/>
                <w:szCs w:val="20"/>
              </w:rPr>
              <w:t xml:space="preserve"> </w:t>
            </w:r>
            <w:r w:rsidR="00A0277B" w:rsidRPr="00D130B5">
              <w:rPr>
                <w:sz w:val="20"/>
                <w:szCs w:val="20"/>
              </w:rPr>
              <w:t>pro</w:t>
            </w:r>
            <w:r w:rsidR="004D213D" w:rsidRPr="00D130B5">
              <w:rPr>
                <w:sz w:val="20"/>
                <w:szCs w:val="20"/>
              </w:rPr>
              <w:t>fessionalisering</w:t>
            </w:r>
            <w:r w:rsidR="0042761B" w:rsidRPr="00D130B5">
              <w:rPr>
                <w:sz w:val="20"/>
                <w:szCs w:val="20"/>
              </w:rPr>
              <w:t>s</w:t>
            </w:r>
            <w:r w:rsidR="00A0277B" w:rsidRPr="00D130B5">
              <w:rPr>
                <w:sz w:val="20"/>
                <w:szCs w:val="20"/>
              </w:rPr>
              <w:t xml:space="preserve">programma </w:t>
            </w:r>
            <w:r>
              <w:rPr>
                <w:sz w:val="20"/>
                <w:szCs w:val="20"/>
              </w:rPr>
              <w:t>’</w:t>
            </w:r>
            <w:r w:rsidR="00A0277B" w:rsidRPr="00D130B5">
              <w:rPr>
                <w:sz w:val="20"/>
                <w:szCs w:val="20"/>
              </w:rPr>
              <w:t>s</w:t>
            </w:r>
            <w:r w:rsidR="004D213D" w:rsidRPr="00D130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de post-initiële  fase) </w:t>
            </w:r>
          </w:p>
        </w:tc>
      </w:tr>
      <w:tr w:rsidR="00580AAC" w:rsidTr="000D46A6">
        <w:tc>
          <w:tcPr>
            <w:tcW w:w="4606" w:type="dxa"/>
          </w:tcPr>
          <w:p w:rsidR="00580AAC" w:rsidRPr="00D130B5" w:rsidRDefault="00580AAC" w:rsidP="000D46A6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80AAC" w:rsidRPr="00D130B5" w:rsidRDefault="0042761B" w:rsidP="0042761B">
            <w:pPr>
              <w:rPr>
                <w:sz w:val="20"/>
                <w:szCs w:val="20"/>
              </w:rPr>
            </w:pPr>
            <w:r w:rsidRPr="00D130B5">
              <w:rPr>
                <w:sz w:val="20"/>
                <w:szCs w:val="20"/>
              </w:rPr>
              <w:t xml:space="preserve">De </w:t>
            </w:r>
            <w:r w:rsidR="004D213D" w:rsidRPr="00D130B5">
              <w:rPr>
                <w:sz w:val="20"/>
                <w:szCs w:val="20"/>
              </w:rPr>
              <w:t xml:space="preserve">AOS organiseert en faciliteert </w:t>
            </w:r>
            <w:r w:rsidRPr="00D130B5">
              <w:rPr>
                <w:sz w:val="20"/>
                <w:szCs w:val="20"/>
              </w:rPr>
              <w:t xml:space="preserve">binnen het samenwerkingsverband </w:t>
            </w:r>
            <w:r w:rsidR="004D213D" w:rsidRPr="00D130B5">
              <w:rPr>
                <w:sz w:val="20"/>
                <w:szCs w:val="20"/>
              </w:rPr>
              <w:t>onderzoek onder studenten en docenten</w:t>
            </w:r>
            <w:r w:rsidRPr="00D130B5">
              <w:rPr>
                <w:sz w:val="20"/>
                <w:szCs w:val="20"/>
              </w:rPr>
              <w:t xml:space="preserve">  </w:t>
            </w:r>
            <w:r w:rsidR="004D213D" w:rsidRPr="00D130B5">
              <w:rPr>
                <w:sz w:val="20"/>
                <w:szCs w:val="20"/>
              </w:rPr>
              <w:t>in het perspectief van schoolontwikkeling</w:t>
            </w:r>
          </w:p>
        </w:tc>
      </w:tr>
      <w:tr w:rsidR="00D130B5" w:rsidTr="009A445C">
        <w:trPr>
          <w:trHeight w:val="70"/>
        </w:trPr>
        <w:tc>
          <w:tcPr>
            <w:tcW w:w="4606" w:type="dxa"/>
          </w:tcPr>
          <w:p w:rsidR="00D130B5" w:rsidRDefault="005813B2" w:rsidP="009A445C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color w:val="1F497D"/>
                <w:sz w:val="18"/>
                <w:szCs w:val="18"/>
              </w:rPr>
              <w:t> </w:t>
            </w:r>
          </w:p>
          <w:p w:rsidR="007E516D" w:rsidRDefault="007E516D" w:rsidP="009A445C"/>
        </w:tc>
        <w:tc>
          <w:tcPr>
            <w:tcW w:w="4606" w:type="dxa"/>
          </w:tcPr>
          <w:p w:rsidR="00D130B5" w:rsidRDefault="00D130B5" w:rsidP="00236531"/>
        </w:tc>
      </w:tr>
    </w:tbl>
    <w:p w:rsidR="007E516D" w:rsidRPr="007E516D" w:rsidRDefault="007E516D">
      <w:pPr>
        <w:rPr>
          <w:i/>
          <w:sz w:val="20"/>
          <w:szCs w:val="20"/>
        </w:rPr>
      </w:pPr>
      <w:r w:rsidRPr="007E516D">
        <w:rPr>
          <w:i/>
          <w:sz w:val="20"/>
          <w:szCs w:val="20"/>
        </w:rPr>
        <w:t>AOS WB juni 2016; legitimatie meerwaarde AOS</w:t>
      </w:r>
    </w:p>
    <w:sectPr w:rsidR="007E516D" w:rsidRPr="007E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F6" w:rsidRDefault="00E111F6" w:rsidP="00D54317">
      <w:pPr>
        <w:spacing w:after="0" w:line="240" w:lineRule="auto"/>
      </w:pPr>
      <w:r>
        <w:separator/>
      </w:r>
    </w:p>
  </w:endnote>
  <w:endnote w:type="continuationSeparator" w:id="0">
    <w:p w:rsidR="00E111F6" w:rsidRDefault="00E111F6" w:rsidP="00D5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F6" w:rsidRDefault="00E111F6" w:rsidP="00D54317">
      <w:pPr>
        <w:spacing w:after="0" w:line="240" w:lineRule="auto"/>
      </w:pPr>
      <w:r>
        <w:separator/>
      </w:r>
    </w:p>
  </w:footnote>
  <w:footnote w:type="continuationSeparator" w:id="0">
    <w:p w:rsidR="00E111F6" w:rsidRDefault="00E111F6" w:rsidP="00D54317">
      <w:pPr>
        <w:spacing w:after="0" w:line="240" w:lineRule="auto"/>
      </w:pPr>
      <w:r>
        <w:continuationSeparator/>
      </w:r>
    </w:p>
  </w:footnote>
  <w:footnote w:id="1">
    <w:p w:rsidR="00960DF8" w:rsidRDefault="00960DF8" w:rsidP="00960DF8">
      <w:pPr>
        <w:pStyle w:val="Voetnoottekst"/>
      </w:pPr>
      <w:r>
        <w:rPr>
          <w:rStyle w:val="Voetnootmarkering"/>
        </w:rPr>
        <w:footnoteRef/>
      </w:r>
      <w:r>
        <w:t xml:space="preserve"> Zie onderzoek Ruud Jongeling en </w:t>
      </w:r>
      <w:proofErr w:type="spellStart"/>
      <w:r>
        <w:t>MvB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96"/>
    <w:rsid w:val="0000164A"/>
    <w:rsid w:val="00033E72"/>
    <w:rsid w:val="000D4151"/>
    <w:rsid w:val="000F35D2"/>
    <w:rsid w:val="00106D54"/>
    <w:rsid w:val="00115147"/>
    <w:rsid w:val="00121D65"/>
    <w:rsid w:val="00127FA0"/>
    <w:rsid w:val="0013319B"/>
    <w:rsid w:val="00143096"/>
    <w:rsid w:val="00153871"/>
    <w:rsid w:val="0018270B"/>
    <w:rsid w:val="001926A6"/>
    <w:rsid w:val="00213841"/>
    <w:rsid w:val="00236531"/>
    <w:rsid w:val="0026215F"/>
    <w:rsid w:val="002A1B3C"/>
    <w:rsid w:val="002C0D95"/>
    <w:rsid w:val="00375603"/>
    <w:rsid w:val="00386FC0"/>
    <w:rsid w:val="003A0713"/>
    <w:rsid w:val="003B6CC7"/>
    <w:rsid w:val="003D4CD1"/>
    <w:rsid w:val="003E0DC7"/>
    <w:rsid w:val="00405D44"/>
    <w:rsid w:val="0042761B"/>
    <w:rsid w:val="00435DAB"/>
    <w:rsid w:val="00476615"/>
    <w:rsid w:val="00495EF4"/>
    <w:rsid w:val="004A5970"/>
    <w:rsid w:val="004B38B5"/>
    <w:rsid w:val="004D213D"/>
    <w:rsid w:val="00521D88"/>
    <w:rsid w:val="00555896"/>
    <w:rsid w:val="00564EF5"/>
    <w:rsid w:val="00580AAC"/>
    <w:rsid w:val="005813B2"/>
    <w:rsid w:val="005D1319"/>
    <w:rsid w:val="00624A5B"/>
    <w:rsid w:val="00645B41"/>
    <w:rsid w:val="00647196"/>
    <w:rsid w:val="00705761"/>
    <w:rsid w:val="00783F95"/>
    <w:rsid w:val="007C0BBB"/>
    <w:rsid w:val="007E516D"/>
    <w:rsid w:val="007E63C9"/>
    <w:rsid w:val="00801E24"/>
    <w:rsid w:val="008362DC"/>
    <w:rsid w:val="00840712"/>
    <w:rsid w:val="00872561"/>
    <w:rsid w:val="00880589"/>
    <w:rsid w:val="009469F2"/>
    <w:rsid w:val="00960DF8"/>
    <w:rsid w:val="00983956"/>
    <w:rsid w:val="009A445C"/>
    <w:rsid w:val="00A0277B"/>
    <w:rsid w:val="00A0386C"/>
    <w:rsid w:val="00A138C0"/>
    <w:rsid w:val="00AB537B"/>
    <w:rsid w:val="00B14A96"/>
    <w:rsid w:val="00BC237C"/>
    <w:rsid w:val="00BC6440"/>
    <w:rsid w:val="00C15AAF"/>
    <w:rsid w:val="00C9238B"/>
    <w:rsid w:val="00CF735D"/>
    <w:rsid w:val="00D130B5"/>
    <w:rsid w:val="00D15240"/>
    <w:rsid w:val="00D54317"/>
    <w:rsid w:val="00DA2F88"/>
    <w:rsid w:val="00E111F6"/>
    <w:rsid w:val="00E4069C"/>
    <w:rsid w:val="00EF785F"/>
    <w:rsid w:val="00F0518E"/>
    <w:rsid w:val="00FC0488"/>
    <w:rsid w:val="00F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5431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5431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54317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F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813B2"/>
    <w:pPr>
      <w:spacing w:after="0" w:line="240" w:lineRule="auto"/>
      <w:ind w:left="720"/>
    </w:pPr>
    <w:rPr>
      <w:rFonts w:ascii="Calibri" w:hAnsi="Calibri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5431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5431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54317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F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813B2"/>
    <w:pPr>
      <w:spacing w:after="0" w:line="240" w:lineRule="auto"/>
      <w:ind w:left="720"/>
    </w:pPr>
    <w:rPr>
      <w:rFonts w:ascii="Calibri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615F-DD8C-44AD-904F-4A631FFC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Boxtel van, MLM</dc:creator>
  <cp:lastModifiedBy>Oosterhout van, JP</cp:lastModifiedBy>
  <cp:revision>2</cp:revision>
  <cp:lastPrinted>2015-03-24T15:34:00Z</cp:lastPrinted>
  <dcterms:created xsi:type="dcterms:W3CDTF">2017-01-30T20:21:00Z</dcterms:created>
  <dcterms:modified xsi:type="dcterms:W3CDTF">2017-01-30T20:21:00Z</dcterms:modified>
</cp:coreProperties>
</file>