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93" w:rsidRDefault="00973293" w:rsidP="00973293">
      <w:pPr>
        <w:pStyle w:val="Kop1"/>
        <w:spacing w:before="0" w:after="0"/>
      </w:pPr>
      <w:r w:rsidRPr="001F6B08">
        <w:t xml:space="preserve">Bijlage 5: </w:t>
      </w:r>
      <w:r>
        <w:t xml:space="preserve"> Kwadrantmodel</w:t>
      </w:r>
    </w:p>
    <w:p w:rsidR="00973293" w:rsidRDefault="00973293" w:rsidP="00973293">
      <w:pPr>
        <w:rPr>
          <w:rFonts w:ascii="Arial" w:eastAsia="SimSun" w:hAnsi="Arial" w:cs="Arial"/>
          <w:lang w:eastAsia="zh-CN"/>
        </w:rPr>
      </w:pPr>
    </w:p>
    <w:p w:rsidR="00973293" w:rsidRDefault="00973293" w:rsidP="00973293">
      <w:pPr>
        <w:rPr>
          <w:rFonts w:ascii="Arial" w:eastAsia="SimSun" w:hAnsi="Arial" w:cs="Arial"/>
          <w:lang w:eastAsia="zh-CN"/>
        </w:rPr>
      </w:pPr>
    </w:p>
    <w:p w:rsidR="00973293" w:rsidRDefault="00973293" w:rsidP="00973293">
      <w:pPr>
        <w:spacing w:line="276" w:lineRule="auto"/>
        <w:rPr>
          <w:rFonts w:ascii="Arial" w:eastAsia="SimSun" w:hAnsi="Arial" w:cs="Arial"/>
          <w:sz w:val="22"/>
          <w:szCs w:val="22"/>
          <w:lang w:eastAsia="zh-CN"/>
        </w:rPr>
      </w:pPr>
      <w:r>
        <w:rPr>
          <w:rFonts w:ascii="Arial" w:eastAsia="SimSun" w:hAnsi="Arial" w:cs="Arial"/>
          <w:lang w:eastAsia="zh-CN"/>
        </w:rPr>
        <w:t xml:space="preserve">Het kwadrantmodel is een middel om leerling gegevens overzichtelijk te ordenen. Het toont de samenhang tussen kunnen, willen, doen en presteren. Het is uitermate geschikt om in één oogopslag te overzien waar de problemen kunnen zitten. Tijdens de leerlingbespreking kan dan gestructureerd gesproken worden over de actuele ontwikkeling van een kind. Problemen worden in school meestal zichtbaar in de beide onderste kwadranten, terwijl de oorzaken voor die problemen vaak in de bovenste kwadranten te vinden zijn. </w:t>
      </w:r>
    </w:p>
    <w:p w:rsidR="00973293" w:rsidRDefault="00973293" w:rsidP="00973293">
      <w:pPr>
        <w:rPr>
          <w:rFonts w:ascii="Arial" w:eastAsia="SimSun" w:hAnsi="Arial" w:cs="Arial"/>
          <w:lang w:eastAsia="zh-CN"/>
        </w:rPr>
      </w:pPr>
    </w:p>
    <w:p w:rsidR="00973293" w:rsidRDefault="00973293" w:rsidP="00973293">
      <w:pPr>
        <w:rPr>
          <w:rFonts w:ascii="Arial" w:eastAsia="SimSun" w:hAnsi="Arial" w:cs="Arial"/>
          <w:lang w:eastAsia="zh-CN"/>
        </w:rPr>
      </w:pPr>
    </w:p>
    <w:p w:rsidR="00973293" w:rsidRDefault="00973293" w:rsidP="00973293">
      <w:pPr>
        <w:rPr>
          <w:rFonts w:ascii="Arial" w:eastAsia="SimSun" w:hAnsi="Arial" w:cs="Arial"/>
          <w:lang w:eastAsia="zh-CN"/>
        </w:rPr>
      </w:pPr>
    </w:p>
    <w:tbl>
      <w:tblPr>
        <w:tblStyle w:val="Tabelraster"/>
        <w:tblW w:w="0" w:type="auto"/>
        <w:tblLook w:val="04A0" w:firstRow="1" w:lastRow="0" w:firstColumn="1" w:lastColumn="0" w:noHBand="0" w:noVBand="1"/>
      </w:tblPr>
      <w:tblGrid>
        <w:gridCol w:w="2660"/>
        <w:gridCol w:w="3291"/>
        <w:gridCol w:w="3291"/>
      </w:tblGrid>
      <w:tr w:rsidR="00973293" w:rsidTr="00752BB0">
        <w:trPr>
          <w:trHeight w:val="567"/>
        </w:trPr>
        <w:tc>
          <w:tcPr>
            <w:tcW w:w="2660" w:type="dxa"/>
            <w:tcBorders>
              <w:top w:val="single" w:sz="4" w:space="0" w:color="auto"/>
              <w:left w:val="single" w:sz="4" w:space="0" w:color="auto"/>
              <w:bottom w:val="single" w:sz="4" w:space="0" w:color="auto"/>
              <w:right w:val="single" w:sz="4" w:space="0" w:color="auto"/>
            </w:tcBorders>
            <w:vAlign w:val="center"/>
          </w:tcPr>
          <w:p w:rsidR="00973293" w:rsidRPr="009A60AD" w:rsidRDefault="00973293" w:rsidP="00752BB0">
            <w:pPr>
              <w:rPr>
                <w:rFonts w:ascii="Arial" w:eastAsiaTheme="minorHAnsi" w:hAnsi="Arial" w:cs="Arial"/>
                <w:sz w:val="20"/>
                <w:lang w:eastAsia="en-US"/>
              </w:rPr>
            </w:pPr>
          </w:p>
        </w:tc>
        <w:tc>
          <w:tcPr>
            <w:tcW w:w="3291" w:type="dxa"/>
            <w:tcBorders>
              <w:top w:val="single" w:sz="4" w:space="0" w:color="auto"/>
              <w:left w:val="single" w:sz="4" w:space="0" w:color="auto"/>
              <w:bottom w:val="single" w:sz="4" w:space="0" w:color="auto"/>
              <w:right w:val="single" w:sz="4" w:space="0" w:color="auto"/>
            </w:tcBorders>
            <w:vAlign w:val="center"/>
          </w:tcPr>
          <w:p w:rsidR="00973293" w:rsidRPr="009A60AD" w:rsidRDefault="00973293" w:rsidP="00752BB0">
            <w:pPr>
              <w:rPr>
                <w:rFonts w:ascii="Arial" w:hAnsi="Arial" w:cs="Arial"/>
                <w:b/>
                <w:sz w:val="22"/>
                <w:szCs w:val="22"/>
              </w:rPr>
            </w:pPr>
            <w:r w:rsidRPr="009A60AD">
              <w:rPr>
                <w:rFonts w:ascii="Arial" w:hAnsi="Arial" w:cs="Arial"/>
                <w:b/>
                <w:sz w:val="22"/>
                <w:szCs w:val="22"/>
              </w:rPr>
              <w:t>Cognitief</w:t>
            </w:r>
          </w:p>
        </w:tc>
        <w:tc>
          <w:tcPr>
            <w:tcW w:w="3291" w:type="dxa"/>
            <w:tcBorders>
              <w:top w:val="single" w:sz="4" w:space="0" w:color="auto"/>
              <w:left w:val="single" w:sz="4" w:space="0" w:color="auto"/>
              <w:bottom w:val="single" w:sz="4" w:space="0" w:color="auto"/>
              <w:right w:val="single" w:sz="4" w:space="0" w:color="auto"/>
            </w:tcBorders>
            <w:vAlign w:val="center"/>
            <w:hideMark/>
          </w:tcPr>
          <w:p w:rsidR="00973293" w:rsidRPr="009A60AD" w:rsidRDefault="00973293" w:rsidP="00752BB0">
            <w:pPr>
              <w:rPr>
                <w:rFonts w:ascii="Arial" w:hAnsi="Arial" w:cs="Arial"/>
                <w:b/>
                <w:sz w:val="22"/>
                <w:szCs w:val="22"/>
              </w:rPr>
            </w:pPr>
            <w:r w:rsidRPr="009A60AD">
              <w:rPr>
                <w:rFonts w:ascii="Arial" w:hAnsi="Arial" w:cs="Arial"/>
                <w:b/>
                <w:sz w:val="22"/>
                <w:szCs w:val="22"/>
              </w:rPr>
              <w:t>Affectief</w:t>
            </w:r>
          </w:p>
        </w:tc>
      </w:tr>
      <w:tr w:rsidR="00973293" w:rsidTr="00752BB0">
        <w:trPr>
          <w:trHeight w:val="2552"/>
        </w:trPr>
        <w:tc>
          <w:tcPr>
            <w:tcW w:w="2660" w:type="dxa"/>
            <w:tcBorders>
              <w:top w:val="single" w:sz="4" w:space="0" w:color="auto"/>
              <w:left w:val="single" w:sz="4" w:space="0" w:color="auto"/>
              <w:bottom w:val="single" w:sz="4" w:space="0" w:color="auto"/>
              <w:right w:val="single" w:sz="4" w:space="0" w:color="auto"/>
            </w:tcBorders>
            <w:vAlign w:val="center"/>
            <w:hideMark/>
          </w:tcPr>
          <w:p w:rsidR="00973293" w:rsidRPr="009A60AD" w:rsidRDefault="00973293" w:rsidP="00752BB0">
            <w:pPr>
              <w:spacing w:line="276" w:lineRule="auto"/>
              <w:ind w:left="142"/>
              <w:rPr>
                <w:rFonts w:ascii="Arial" w:hAnsi="Arial" w:cs="Arial"/>
                <w:b/>
                <w:sz w:val="20"/>
              </w:rPr>
            </w:pPr>
            <w:r w:rsidRPr="009A60AD">
              <w:rPr>
                <w:rFonts w:ascii="Arial" w:hAnsi="Arial" w:cs="Arial"/>
                <w:b/>
                <w:sz w:val="20"/>
              </w:rPr>
              <w:t>Niet zichtbaar</w:t>
            </w:r>
          </w:p>
          <w:p w:rsidR="00973293" w:rsidRPr="009A60AD" w:rsidRDefault="00973293" w:rsidP="00752BB0">
            <w:pPr>
              <w:spacing w:line="276" w:lineRule="auto"/>
              <w:ind w:left="142"/>
              <w:rPr>
                <w:rFonts w:ascii="Arial" w:hAnsi="Arial" w:cs="Arial"/>
                <w:sz w:val="20"/>
              </w:rPr>
            </w:pPr>
            <w:r w:rsidRPr="009A60AD">
              <w:rPr>
                <w:rFonts w:ascii="Arial" w:hAnsi="Arial" w:cs="Arial"/>
                <w:sz w:val="20"/>
              </w:rPr>
              <w:t>(psychologische kant)</w:t>
            </w:r>
          </w:p>
        </w:tc>
        <w:tc>
          <w:tcPr>
            <w:tcW w:w="3291" w:type="dxa"/>
            <w:tcBorders>
              <w:top w:val="single" w:sz="4" w:space="0" w:color="auto"/>
              <w:left w:val="single" w:sz="4" w:space="0" w:color="auto"/>
              <w:bottom w:val="single" w:sz="4" w:space="0" w:color="auto"/>
              <w:right w:val="single" w:sz="4" w:space="0" w:color="auto"/>
            </w:tcBorders>
            <w:vAlign w:val="center"/>
          </w:tcPr>
          <w:p w:rsidR="00973293" w:rsidRPr="009A60AD" w:rsidRDefault="00973293" w:rsidP="00752BB0">
            <w:pPr>
              <w:spacing w:line="276" w:lineRule="auto"/>
              <w:rPr>
                <w:rFonts w:ascii="Arial" w:hAnsi="Arial" w:cs="Arial"/>
                <w:sz w:val="20"/>
              </w:rPr>
            </w:pPr>
            <w:r w:rsidRPr="009A60AD">
              <w:rPr>
                <w:rFonts w:ascii="Arial" w:hAnsi="Arial" w:cs="Arial"/>
                <w:b/>
                <w:sz w:val="20"/>
              </w:rPr>
              <w:t>Capaciteiten</w:t>
            </w:r>
            <w:r w:rsidRPr="009A60AD">
              <w:rPr>
                <w:rFonts w:ascii="Arial" w:hAnsi="Arial" w:cs="Arial"/>
                <w:sz w:val="20"/>
              </w:rPr>
              <w:t xml:space="preserve"> (kunnen)</w:t>
            </w:r>
          </w:p>
          <w:p w:rsidR="00973293" w:rsidRDefault="00973293" w:rsidP="00752BB0">
            <w:pPr>
              <w:spacing w:line="276" w:lineRule="auto"/>
              <w:rPr>
                <w:rFonts w:ascii="Arial" w:hAnsi="Arial" w:cs="Arial"/>
                <w:sz w:val="20"/>
              </w:rPr>
            </w:pPr>
          </w:p>
          <w:p w:rsidR="00973293" w:rsidRPr="00C910BA" w:rsidRDefault="00973293" w:rsidP="00752BB0">
            <w:pPr>
              <w:spacing w:line="276" w:lineRule="auto"/>
              <w:rPr>
                <w:rFonts w:ascii="Arial" w:hAnsi="Arial" w:cs="Arial"/>
                <w:i/>
                <w:sz w:val="20"/>
              </w:rPr>
            </w:pPr>
            <w:r w:rsidRPr="00C910BA">
              <w:rPr>
                <w:rFonts w:ascii="Arial" w:hAnsi="Arial" w:cs="Arial"/>
                <w:i/>
                <w:sz w:val="20"/>
              </w:rPr>
              <w:t>Bijvoorbeeld:</w:t>
            </w:r>
          </w:p>
          <w:p w:rsidR="00973293" w:rsidRPr="009A60AD" w:rsidRDefault="00973293" w:rsidP="00973293">
            <w:pPr>
              <w:numPr>
                <w:ilvl w:val="0"/>
                <w:numId w:val="1"/>
              </w:numPr>
              <w:spacing w:line="276" w:lineRule="auto"/>
              <w:ind w:left="459" w:hanging="277"/>
              <w:contextualSpacing/>
              <w:rPr>
                <w:rFonts w:ascii="Arial" w:hAnsi="Arial" w:cs="Arial"/>
                <w:sz w:val="20"/>
              </w:rPr>
            </w:pPr>
            <w:r>
              <w:rPr>
                <w:rFonts w:ascii="Arial" w:hAnsi="Arial" w:cs="Arial"/>
                <w:sz w:val="20"/>
              </w:rPr>
              <w:t xml:space="preserve">IQ </w:t>
            </w:r>
          </w:p>
          <w:p w:rsidR="00973293" w:rsidRPr="009A60AD" w:rsidRDefault="00973293" w:rsidP="00973293">
            <w:pPr>
              <w:numPr>
                <w:ilvl w:val="0"/>
                <w:numId w:val="1"/>
              </w:numPr>
              <w:spacing w:line="276" w:lineRule="auto"/>
              <w:ind w:left="459" w:hanging="277"/>
              <w:contextualSpacing/>
              <w:rPr>
                <w:rFonts w:ascii="Arial" w:hAnsi="Arial" w:cs="Arial"/>
                <w:sz w:val="20"/>
              </w:rPr>
            </w:pPr>
            <w:r w:rsidRPr="009A60AD">
              <w:rPr>
                <w:rFonts w:ascii="Arial" w:hAnsi="Arial" w:cs="Arial"/>
                <w:sz w:val="20"/>
              </w:rPr>
              <w:t>Leerbelemmeringen, bijv. dyslexie</w:t>
            </w:r>
          </w:p>
          <w:p w:rsidR="00973293" w:rsidRPr="009A60AD" w:rsidRDefault="00973293" w:rsidP="00973293">
            <w:pPr>
              <w:numPr>
                <w:ilvl w:val="0"/>
                <w:numId w:val="1"/>
              </w:numPr>
              <w:spacing w:line="276" w:lineRule="auto"/>
              <w:ind w:left="459" w:hanging="277"/>
              <w:contextualSpacing/>
              <w:rPr>
                <w:rFonts w:ascii="Arial" w:hAnsi="Arial" w:cs="Arial"/>
                <w:sz w:val="20"/>
              </w:rPr>
            </w:pPr>
            <w:r w:rsidRPr="009A60AD">
              <w:rPr>
                <w:rFonts w:ascii="Arial" w:hAnsi="Arial" w:cs="Arial"/>
                <w:sz w:val="20"/>
              </w:rPr>
              <w:t>Werktempo</w:t>
            </w:r>
          </w:p>
          <w:p w:rsidR="00973293" w:rsidRPr="001F6B08" w:rsidRDefault="00973293" w:rsidP="00973293">
            <w:pPr>
              <w:numPr>
                <w:ilvl w:val="0"/>
                <w:numId w:val="1"/>
              </w:numPr>
              <w:spacing w:line="276" w:lineRule="auto"/>
              <w:ind w:left="459" w:hanging="277"/>
              <w:contextualSpacing/>
              <w:rPr>
                <w:rFonts w:ascii="Arial" w:hAnsi="Arial" w:cs="Arial"/>
                <w:sz w:val="20"/>
              </w:rPr>
            </w:pPr>
            <w:r>
              <w:rPr>
                <w:rFonts w:ascii="Arial" w:hAnsi="Arial" w:cs="Arial"/>
                <w:sz w:val="20"/>
              </w:rPr>
              <w:t>Concentratie</w:t>
            </w:r>
          </w:p>
        </w:tc>
        <w:tc>
          <w:tcPr>
            <w:tcW w:w="3291" w:type="dxa"/>
            <w:tcBorders>
              <w:top w:val="single" w:sz="4" w:space="0" w:color="auto"/>
              <w:left w:val="single" w:sz="4" w:space="0" w:color="auto"/>
              <w:bottom w:val="single" w:sz="4" w:space="0" w:color="auto"/>
              <w:right w:val="single" w:sz="4" w:space="0" w:color="auto"/>
            </w:tcBorders>
            <w:vAlign w:val="center"/>
          </w:tcPr>
          <w:p w:rsidR="00973293" w:rsidRDefault="00973293" w:rsidP="00752BB0">
            <w:pPr>
              <w:spacing w:line="276" w:lineRule="auto"/>
              <w:ind w:left="176"/>
              <w:rPr>
                <w:rFonts w:ascii="Arial" w:hAnsi="Arial" w:cs="Arial"/>
                <w:b/>
                <w:sz w:val="20"/>
              </w:rPr>
            </w:pPr>
          </w:p>
          <w:p w:rsidR="00973293" w:rsidRDefault="00973293" w:rsidP="00752BB0">
            <w:pPr>
              <w:spacing w:line="276" w:lineRule="auto"/>
              <w:ind w:left="176"/>
              <w:rPr>
                <w:rFonts w:ascii="Arial" w:hAnsi="Arial" w:cs="Arial"/>
                <w:b/>
                <w:sz w:val="20"/>
              </w:rPr>
            </w:pPr>
          </w:p>
          <w:p w:rsidR="00973293" w:rsidRDefault="00973293" w:rsidP="00752BB0">
            <w:pPr>
              <w:spacing w:line="276" w:lineRule="auto"/>
              <w:ind w:left="176"/>
              <w:rPr>
                <w:rFonts w:ascii="Arial" w:hAnsi="Arial" w:cs="Arial"/>
                <w:b/>
                <w:sz w:val="20"/>
              </w:rPr>
            </w:pPr>
          </w:p>
          <w:p w:rsidR="00973293" w:rsidRDefault="00973293" w:rsidP="00752BB0">
            <w:pPr>
              <w:spacing w:line="276" w:lineRule="auto"/>
              <w:ind w:left="176"/>
              <w:rPr>
                <w:rFonts w:ascii="Arial" w:hAnsi="Arial" w:cs="Arial"/>
                <w:sz w:val="20"/>
              </w:rPr>
            </w:pPr>
            <w:r w:rsidRPr="009A60AD">
              <w:rPr>
                <w:rFonts w:ascii="Arial" w:hAnsi="Arial" w:cs="Arial"/>
                <w:b/>
                <w:sz w:val="20"/>
              </w:rPr>
              <w:t xml:space="preserve">Persoonsontwikkeling </w:t>
            </w:r>
            <w:r w:rsidRPr="009A60AD">
              <w:rPr>
                <w:rFonts w:ascii="Arial" w:hAnsi="Arial" w:cs="Arial"/>
                <w:sz w:val="20"/>
              </w:rPr>
              <w:t>(willen)</w:t>
            </w:r>
          </w:p>
          <w:p w:rsidR="00973293" w:rsidRDefault="00973293" w:rsidP="00752BB0">
            <w:pPr>
              <w:spacing w:line="276" w:lineRule="auto"/>
              <w:ind w:left="176"/>
              <w:rPr>
                <w:rFonts w:ascii="Arial" w:hAnsi="Arial" w:cs="Arial"/>
                <w:sz w:val="20"/>
              </w:rPr>
            </w:pPr>
          </w:p>
          <w:p w:rsidR="00973293" w:rsidRPr="009A60AD" w:rsidRDefault="00973293" w:rsidP="00752BB0">
            <w:pPr>
              <w:spacing w:line="276" w:lineRule="auto"/>
              <w:ind w:left="176"/>
              <w:rPr>
                <w:rFonts w:ascii="Arial" w:hAnsi="Arial" w:cs="Arial"/>
                <w:sz w:val="20"/>
              </w:rPr>
            </w:pPr>
          </w:p>
          <w:p w:rsidR="00973293" w:rsidRDefault="00973293" w:rsidP="00752BB0">
            <w:pPr>
              <w:spacing w:line="276" w:lineRule="auto"/>
              <w:rPr>
                <w:rFonts w:ascii="Arial" w:hAnsi="Arial" w:cs="Arial"/>
                <w:i/>
                <w:sz w:val="20"/>
              </w:rPr>
            </w:pPr>
          </w:p>
          <w:p w:rsidR="00973293" w:rsidRPr="00753726" w:rsidRDefault="00973293" w:rsidP="00752BB0">
            <w:pPr>
              <w:spacing w:line="276" w:lineRule="auto"/>
              <w:rPr>
                <w:rFonts w:ascii="Arial" w:hAnsi="Arial" w:cs="Arial"/>
                <w:i/>
                <w:sz w:val="20"/>
              </w:rPr>
            </w:pPr>
            <w:r w:rsidRPr="00C910BA">
              <w:rPr>
                <w:rFonts w:ascii="Arial" w:hAnsi="Arial" w:cs="Arial"/>
                <w:i/>
                <w:sz w:val="20"/>
              </w:rPr>
              <w:t>Bijvoorbeeld:</w:t>
            </w:r>
          </w:p>
          <w:p w:rsidR="00973293" w:rsidRPr="009A60AD" w:rsidRDefault="00973293" w:rsidP="00973293">
            <w:pPr>
              <w:numPr>
                <w:ilvl w:val="0"/>
                <w:numId w:val="1"/>
              </w:numPr>
              <w:spacing w:line="276" w:lineRule="auto"/>
              <w:ind w:left="459" w:hanging="277"/>
              <w:contextualSpacing/>
              <w:rPr>
                <w:rFonts w:ascii="Arial" w:hAnsi="Arial" w:cs="Arial"/>
                <w:sz w:val="20"/>
              </w:rPr>
            </w:pPr>
            <w:r w:rsidRPr="009A60AD">
              <w:rPr>
                <w:rFonts w:ascii="Arial" w:hAnsi="Arial" w:cs="Arial"/>
                <w:sz w:val="20"/>
              </w:rPr>
              <w:t xml:space="preserve">Emotioneel functioneren door </w:t>
            </w:r>
            <w:r>
              <w:rPr>
                <w:rFonts w:ascii="Arial" w:hAnsi="Arial" w:cs="Arial"/>
                <w:sz w:val="20"/>
              </w:rPr>
              <w:t xml:space="preserve">signaleringslijsten, bijv. </w:t>
            </w:r>
            <w:r w:rsidRPr="009A60AD">
              <w:rPr>
                <w:rFonts w:ascii="Arial" w:hAnsi="Arial" w:cs="Arial"/>
                <w:sz w:val="20"/>
              </w:rPr>
              <w:t>SVL, SSAT</w:t>
            </w:r>
          </w:p>
          <w:p w:rsidR="00973293" w:rsidRPr="009A60AD" w:rsidRDefault="00973293" w:rsidP="00973293">
            <w:pPr>
              <w:numPr>
                <w:ilvl w:val="0"/>
                <w:numId w:val="1"/>
              </w:numPr>
              <w:spacing w:line="276" w:lineRule="auto"/>
              <w:ind w:left="459" w:hanging="277"/>
              <w:contextualSpacing/>
              <w:rPr>
                <w:rFonts w:ascii="Arial" w:hAnsi="Arial" w:cs="Arial"/>
                <w:sz w:val="20"/>
              </w:rPr>
            </w:pPr>
            <w:r w:rsidRPr="009A60AD">
              <w:rPr>
                <w:rFonts w:ascii="Arial" w:hAnsi="Arial" w:cs="Arial"/>
                <w:sz w:val="20"/>
              </w:rPr>
              <w:t>(para)medische gegevens</w:t>
            </w:r>
          </w:p>
          <w:p w:rsidR="00973293" w:rsidRDefault="00973293" w:rsidP="00973293">
            <w:pPr>
              <w:numPr>
                <w:ilvl w:val="0"/>
                <w:numId w:val="1"/>
              </w:numPr>
              <w:spacing w:line="276" w:lineRule="auto"/>
              <w:ind w:left="459" w:hanging="277"/>
              <w:contextualSpacing/>
              <w:rPr>
                <w:rFonts w:ascii="Arial" w:hAnsi="Arial" w:cs="Arial"/>
                <w:sz w:val="20"/>
              </w:rPr>
            </w:pPr>
            <w:r w:rsidRPr="009A60AD">
              <w:rPr>
                <w:rFonts w:ascii="Arial" w:hAnsi="Arial" w:cs="Arial"/>
                <w:sz w:val="20"/>
              </w:rPr>
              <w:t>Sociaal-maatschappelijke gegevens</w:t>
            </w:r>
          </w:p>
          <w:p w:rsidR="00973293" w:rsidRDefault="00973293" w:rsidP="00752BB0">
            <w:pPr>
              <w:spacing w:line="276" w:lineRule="auto"/>
              <w:contextualSpacing/>
              <w:rPr>
                <w:rFonts w:ascii="Arial" w:hAnsi="Arial" w:cs="Arial"/>
                <w:sz w:val="20"/>
              </w:rPr>
            </w:pPr>
          </w:p>
          <w:p w:rsidR="00973293" w:rsidRDefault="00973293" w:rsidP="00752BB0">
            <w:pPr>
              <w:spacing w:line="276" w:lineRule="auto"/>
              <w:contextualSpacing/>
              <w:rPr>
                <w:rFonts w:ascii="Arial" w:hAnsi="Arial" w:cs="Arial"/>
                <w:sz w:val="20"/>
              </w:rPr>
            </w:pPr>
          </w:p>
          <w:p w:rsidR="00973293" w:rsidRPr="001F6B08" w:rsidRDefault="00973293" w:rsidP="00752BB0">
            <w:pPr>
              <w:spacing w:line="276" w:lineRule="auto"/>
              <w:contextualSpacing/>
              <w:rPr>
                <w:rFonts w:ascii="Arial" w:hAnsi="Arial" w:cs="Arial"/>
                <w:sz w:val="20"/>
              </w:rPr>
            </w:pPr>
          </w:p>
        </w:tc>
      </w:tr>
      <w:tr w:rsidR="00973293" w:rsidTr="00752BB0">
        <w:trPr>
          <w:trHeight w:val="2552"/>
        </w:trPr>
        <w:tc>
          <w:tcPr>
            <w:tcW w:w="2660" w:type="dxa"/>
            <w:tcBorders>
              <w:top w:val="single" w:sz="4" w:space="0" w:color="auto"/>
              <w:left w:val="single" w:sz="4" w:space="0" w:color="auto"/>
              <w:bottom w:val="single" w:sz="4" w:space="0" w:color="auto"/>
              <w:right w:val="single" w:sz="4" w:space="0" w:color="auto"/>
            </w:tcBorders>
            <w:vAlign w:val="center"/>
            <w:hideMark/>
          </w:tcPr>
          <w:p w:rsidR="00973293" w:rsidRPr="00270102" w:rsidRDefault="00973293" w:rsidP="00752BB0">
            <w:pPr>
              <w:spacing w:line="276" w:lineRule="auto"/>
              <w:ind w:left="142"/>
              <w:rPr>
                <w:rFonts w:ascii="Arial" w:hAnsi="Arial" w:cs="Arial"/>
                <w:sz w:val="20"/>
              </w:rPr>
            </w:pPr>
            <w:r w:rsidRPr="00270102">
              <w:rPr>
                <w:rFonts w:ascii="Arial" w:hAnsi="Arial" w:cs="Arial"/>
                <w:b/>
                <w:sz w:val="20"/>
              </w:rPr>
              <w:t xml:space="preserve">Zichtbaar </w:t>
            </w:r>
            <w:r w:rsidRPr="00270102">
              <w:rPr>
                <w:rFonts w:ascii="Arial" w:hAnsi="Arial" w:cs="Arial"/>
                <w:sz w:val="20"/>
              </w:rPr>
              <w:t>(onderwijskundige kant)</w:t>
            </w:r>
          </w:p>
        </w:tc>
        <w:tc>
          <w:tcPr>
            <w:tcW w:w="3291" w:type="dxa"/>
            <w:tcBorders>
              <w:top w:val="single" w:sz="4" w:space="0" w:color="auto"/>
              <w:left w:val="single" w:sz="4" w:space="0" w:color="auto"/>
              <w:bottom w:val="single" w:sz="4" w:space="0" w:color="auto"/>
              <w:right w:val="single" w:sz="4" w:space="0" w:color="auto"/>
            </w:tcBorders>
            <w:vAlign w:val="center"/>
          </w:tcPr>
          <w:p w:rsidR="00973293" w:rsidRDefault="00973293" w:rsidP="00752BB0">
            <w:pPr>
              <w:spacing w:line="276" w:lineRule="auto"/>
              <w:ind w:left="176"/>
              <w:rPr>
                <w:rFonts w:ascii="Arial" w:hAnsi="Arial" w:cs="Arial"/>
                <w:sz w:val="20"/>
              </w:rPr>
            </w:pPr>
            <w:r w:rsidRPr="00270102">
              <w:rPr>
                <w:rFonts w:ascii="Arial" w:hAnsi="Arial" w:cs="Arial"/>
                <w:b/>
                <w:sz w:val="20"/>
              </w:rPr>
              <w:t xml:space="preserve">Schoolprestaties </w:t>
            </w:r>
            <w:r w:rsidRPr="00270102">
              <w:rPr>
                <w:rFonts w:ascii="Arial" w:hAnsi="Arial" w:cs="Arial"/>
                <w:sz w:val="20"/>
              </w:rPr>
              <w:t>(presteren)</w:t>
            </w:r>
          </w:p>
          <w:p w:rsidR="00973293" w:rsidRDefault="00973293" w:rsidP="00752BB0">
            <w:pPr>
              <w:spacing w:line="276" w:lineRule="auto"/>
              <w:ind w:left="176"/>
              <w:rPr>
                <w:rFonts w:ascii="Arial" w:hAnsi="Arial" w:cs="Arial"/>
                <w:sz w:val="20"/>
              </w:rPr>
            </w:pPr>
          </w:p>
          <w:p w:rsidR="00973293" w:rsidRDefault="00973293" w:rsidP="00752BB0">
            <w:pPr>
              <w:spacing w:line="276" w:lineRule="auto"/>
              <w:ind w:left="176"/>
              <w:rPr>
                <w:rFonts w:ascii="Arial" w:hAnsi="Arial" w:cs="Arial"/>
                <w:sz w:val="20"/>
              </w:rPr>
            </w:pPr>
          </w:p>
          <w:p w:rsidR="00973293" w:rsidRPr="00753726" w:rsidRDefault="00973293" w:rsidP="00752BB0">
            <w:pPr>
              <w:spacing w:line="276" w:lineRule="auto"/>
              <w:rPr>
                <w:rFonts w:ascii="Arial" w:hAnsi="Arial" w:cs="Arial"/>
                <w:i/>
                <w:sz w:val="20"/>
              </w:rPr>
            </w:pPr>
            <w:r w:rsidRPr="00C910BA">
              <w:rPr>
                <w:rFonts w:ascii="Arial" w:hAnsi="Arial" w:cs="Arial"/>
                <w:i/>
                <w:sz w:val="20"/>
              </w:rPr>
              <w:t>B</w:t>
            </w:r>
            <w:r>
              <w:rPr>
                <w:rFonts w:ascii="Arial" w:hAnsi="Arial" w:cs="Arial"/>
                <w:i/>
                <w:sz w:val="20"/>
              </w:rPr>
              <w:t>ijvoorbeeld:</w:t>
            </w:r>
          </w:p>
          <w:p w:rsidR="00973293" w:rsidRPr="00270102" w:rsidRDefault="00973293" w:rsidP="00973293">
            <w:pPr>
              <w:numPr>
                <w:ilvl w:val="0"/>
                <w:numId w:val="1"/>
              </w:numPr>
              <w:spacing w:line="276" w:lineRule="auto"/>
              <w:ind w:left="459" w:hanging="277"/>
              <w:contextualSpacing/>
              <w:rPr>
                <w:rFonts w:ascii="Arial" w:hAnsi="Arial" w:cs="Arial"/>
                <w:sz w:val="20"/>
              </w:rPr>
            </w:pPr>
            <w:r w:rsidRPr="00270102">
              <w:rPr>
                <w:rFonts w:ascii="Arial" w:hAnsi="Arial" w:cs="Arial"/>
                <w:sz w:val="20"/>
              </w:rPr>
              <w:t>Instroomgegevens van de basisschool, bijv. Citotoets, Drempelonderzoek, gegevens LVS</w:t>
            </w:r>
          </w:p>
          <w:p w:rsidR="00973293" w:rsidRPr="001F6B08" w:rsidRDefault="00973293" w:rsidP="00973293">
            <w:pPr>
              <w:numPr>
                <w:ilvl w:val="0"/>
                <w:numId w:val="1"/>
              </w:numPr>
              <w:spacing w:line="276" w:lineRule="auto"/>
              <w:ind w:left="459" w:hanging="277"/>
              <w:contextualSpacing/>
              <w:rPr>
                <w:rFonts w:ascii="Arial" w:hAnsi="Arial" w:cs="Arial"/>
                <w:sz w:val="20"/>
              </w:rPr>
            </w:pPr>
            <w:r w:rsidRPr="00270102">
              <w:rPr>
                <w:rFonts w:ascii="Arial" w:hAnsi="Arial" w:cs="Arial"/>
                <w:sz w:val="20"/>
              </w:rPr>
              <w:t>(rapport)cijfers</w:t>
            </w:r>
          </w:p>
        </w:tc>
        <w:tc>
          <w:tcPr>
            <w:tcW w:w="3291" w:type="dxa"/>
            <w:tcBorders>
              <w:top w:val="single" w:sz="4" w:space="0" w:color="auto"/>
              <w:left w:val="single" w:sz="4" w:space="0" w:color="auto"/>
              <w:bottom w:val="single" w:sz="4" w:space="0" w:color="auto"/>
              <w:right w:val="single" w:sz="4" w:space="0" w:color="auto"/>
            </w:tcBorders>
            <w:vAlign w:val="center"/>
          </w:tcPr>
          <w:p w:rsidR="00973293" w:rsidRPr="00270102" w:rsidRDefault="00973293" w:rsidP="00752BB0">
            <w:pPr>
              <w:spacing w:line="276" w:lineRule="auto"/>
              <w:rPr>
                <w:rFonts w:ascii="Arial" w:hAnsi="Arial" w:cs="Arial"/>
                <w:sz w:val="20"/>
              </w:rPr>
            </w:pPr>
            <w:r w:rsidRPr="00270102">
              <w:rPr>
                <w:rFonts w:ascii="Arial" w:hAnsi="Arial" w:cs="Arial"/>
                <w:b/>
                <w:sz w:val="20"/>
              </w:rPr>
              <w:t>Schoolgedrag</w:t>
            </w:r>
            <w:r w:rsidRPr="00270102">
              <w:rPr>
                <w:rFonts w:ascii="Arial" w:hAnsi="Arial" w:cs="Arial"/>
                <w:sz w:val="20"/>
              </w:rPr>
              <w:t xml:space="preserve"> (doen)</w:t>
            </w:r>
          </w:p>
          <w:p w:rsidR="00973293" w:rsidRPr="00C910BA" w:rsidRDefault="00973293" w:rsidP="00752BB0">
            <w:pPr>
              <w:spacing w:line="276" w:lineRule="auto"/>
              <w:rPr>
                <w:rFonts w:ascii="Arial" w:hAnsi="Arial" w:cs="Arial"/>
                <w:i/>
                <w:sz w:val="20"/>
              </w:rPr>
            </w:pPr>
            <w:r w:rsidRPr="00C910BA">
              <w:rPr>
                <w:rFonts w:ascii="Arial" w:hAnsi="Arial" w:cs="Arial"/>
                <w:i/>
                <w:sz w:val="20"/>
              </w:rPr>
              <w:t>Bijvoorbeeld:</w:t>
            </w:r>
          </w:p>
          <w:p w:rsidR="00973293" w:rsidRPr="00270102" w:rsidRDefault="00973293" w:rsidP="00752BB0">
            <w:pPr>
              <w:spacing w:line="276" w:lineRule="auto"/>
              <w:ind w:left="176"/>
              <w:rPr>
                <w:rFonts w:ascii="Arial" w:hAnsi="Arial" w:cs="Arial"/>
                <w:sz w:val="20"/>
              </w:rPr>
            </w:pPr>
          </w:p>
          <w:p w:rsidR="00973293" w:rsidRPr="00270102" w:rsidRDefault="00973293" w:rsidP="00973293">
            <w:pPr>
              <w:numPr>
                <w:ilvl w:val="0"/>
                <w:numId w:val="1"/>
              </w:numPr>
              <w:spacing w:line="276" w:lineRule="auto"/>
              <w:ind w:left="459" w:hanging="277"/>
              <w:contextualSpacing/>
              <w:rPr>
                <w:rFonts w:ascii="Arial" w:hAnsi="Arial" w:cs="Arial"/>
                <w:sz w:val="20"/>
              </w:rPr>
            </w:pPr>
            <w:r w:rsidRPr="00270102">
              <w:rPr>
                <w:rFonts w:ascii="Arial" w:hAnsi="Arial" w:cs="Arial"/>
                <w:sz w:val="20"/>
              </w:rPr>
              <w:t xml:space="preserve">Observaties, </w:t>
            </w:r>
          </w:p>
          <w:p w:rsidR="00973293" w:rsidRPr="00270102" w:rsidRDefault="00973293" w:rsidP="00752BB0">
            <w:pPr>
              <w:spacing w:line="276" w:lineRule="auto"/>
              <w:ind w:left="459"/>
              <w:contextualSpacing/>
              <w:rPr>
                <w:rFonts w:ascii="Arial" w:hAnsi="Arial" w:cs="Arial"/>
                <w:sz w:val="20"/>
              </w:rPr>
            </w:pPr>
            <w:r w:rsidRPr="00270102">
              <w:rPr>
                <w:rFonts w:ascii="Arial" w:hAnsi="Arial" w:cs="Arial"/>
                <w:sz w:val="20"/>
              </w:rPr>
              <w:t>bijv. ABC-model</w:t>
            </w:r>
          </w:p>
        </w:tc>
      </w:tr>
    </w:tbl>
    <w:p w:rsidR="00597705" w:rsidRDefault="00597705">
      <w:bookmarkStart w:id="0" w:name="_GoBack"/>
      <w:bookmarkEnd w:id="0"/>
    </w:p>
    <w:sectPr w:rsidR="00597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5DE1"/>
    <w:multiLevelType w:val="hybridMultilevel"/>
    <w:tmpl w:val="BAB06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93"/>
    <w:rsid w:val="00597705"/>
    <w:rsid w:val="00973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329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1"/>
    <w:qFormat/>
    <w:rsid w:val="00973293"/>
    <w:pPr>
      <w:keepNext/>
      <w:spacing w:before="240" w:after="60"/>
      <w:outlineLvl w:val="0"/>
    </w:pPr>
    <w:rPr>
      <w:rFonts w:ascii="Arial" w:hAnsi="Arial" w:cs="Arial"/>
      <w:b/>
      <w:bCs/>
      <w:spacing w:val="4"/>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73293"/>
    <w:rPr>
      <w:rFonts w:asciiTheme="majorHAnsi" w:eastAsiaTheme="majorEastAsia" w:hAnsiTheme="majorHAnsi" w:cstheme="majorBidi"/>
      <w:b/>
      <w:bCs/>
      <w:color w:val="365F91" w:themeColor="accent1" w:themeShade="BF"/>
      <w:sz w:val="28"/>
      <w:szCs w:val="28"/>
      <w:lang w:eastAsia="nl-NL"/>
    </w:rPr>
  </w:style>
  <w:style w:type="character" w:customStyle="1" w:styleId="Kop1Char1">
    <w:name w:val="Kop 1 Char1"/>
    <w:basedOn w:val="Standaardalinea-lettertype"/>
    <w:link w:val="Kop1"/>
    <w:rsid w:val="00973293"/>
    <w:rPr>
      <w:rFonts w:ascii="Arial" w:eastAsia="Times New Roman" w:hAnsi="Arial" w:cs="Arial"/>
      <w:b/>
      <w:bCs/>
      <w:spacing w:val="4"/>
      <w:kern w:val="32"/>
      <w:sz w:val="32"/>
      <w:szCs w:val="32"/>
      <w:lang w:eastAsia="nl-NL"/>
    </w:rPr>
  </w:style>
  <w:style w:type="table" w:styleId="Tabelraster">
    <w:name w:val="Table Grid"/>
    <w:basedOn w:val="Standaardtabel"/>
    <w:uiPriority w:val="59"/>
    <w:rsid w:val="00973293"/>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329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1"/>
    <w:qFormat/>
    <w:rsid w:val="00973293"/>
    <w:pPr>
      <w:keepNext/>
      <w:spacing w:before="240" w:after="60"/>
      <w:outlineLvl w:val="0"/>
    </w:pPr>
    <w:rPr>
      <w:rFonts w:ascii="Arial" w:hAnsi="Arial" w:cs="Arial"/>
      <w:b/>
      <w:bCs/>
      <w:spacing w:val="4"/>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73293"/>
    <w:rPr>
      <w:rFonts w:asciiTheme="majorHAnsi" w:eastAsiaTheme="majorEastAsia" w:hAnsiTheme="majorHAnsi" w:cstheme="majorBidi"/>
      <w:b/>
      <w:bCs/>
      <w:color w:val="365F91" w:themeColor="accent1" w:themeShade="BF"/>
      <w:sz w:val="28"/>
      <w:szCs w:val="28"/>
      <w:lang w:eastAsia="nl-NL"/>
    </w:rPr>
  </w:style>
  <w:style w:type="character" w:customStyle="1" w:styleId="Kop1Char1">
    <w:name w:val="Kop 1 Char1"/>
    <w:basedOn w:val="Standaardalinea-lettertype"/>
    <w:link w:val="Kop1"/>
    <w:rsid w:val="00973293"/>
    <w:rPr>
      <w:rFonts w:ascii="Arial" w:eastAsia="Times New Roman" w:hAnsi="Arial" w:cs="Arial"/>
      <w:b/>
      <w:bCs/>
      <w:spacing w:val="4"/>
      <w:kern w:val="32"/>
      <w:sz w:val="32"/>
      <w:szCs w:val="32"/>
      <w:lang w:eastAsia="nl-NL"/>
    </w:rPr>
  </w:style>
  <w:style w:type="table" w:styleId="Tabelraster">
    <w:name w:val="Table Grid"/>
    <w:basedOn w:val="Standaardtabel"/>
    <w:uiPriority w:val="59"/>
    <w:rsid w:val="00973293"/>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T (Thea)</dc:creator>
  <cp:lastModifiedBy>Hermans, T (Thea)</cp:lastModifiedBy>
  <cp:revision>1</cp:revision>
  <dcterms:created xsi:type="dcterms:W3CDTF">2018-06-27T08:11:00Z</dcterms:created>
  <dcterms:modified xsi:type="dcterms:W3CDTF">2018-06-27T08:14:00Z</dcterms:modified>
</cp:coreProperties>
</file>